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EC531D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B54D1">
        <w:t>Macro conditions reflect a backdrop where growth is slowing and earnings expectations are grinding lower even as inflation moderates from peak levels but stays structurally higher than the pre-COVID regime, and the combination of a weaker USD, higher yields, soft bonds, strong gold, and a soggy energy complex reinforces a market that is rotating toward cyclicals and secular growers while fading classic defensives and commodity beta in response to that shifting growth/inflation mix.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B54D1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69</Words>
  <Characters>431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41</cp:revision>
  <dcterms:created xsi:type="dcterms:W3CDTF">2025-10-18T00:26:00Z</dcterms:created>
  <dcterms:modified xsi:type="dcterms:W3CDTF">2025-12-24T01:05:00Z</dcterms:modified>
</cp:coreProperties>
</file>