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666EA175"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The Markmentum Score is a</w:t>
      </w:r>
      <w:r w:rsidR="000D7D5C">
        <w:rPr>
          <w:rFonts w:ascii="Arial" w:hAnsi="Arial" w:cs="Arial"/>
          <w:sz w:val="22"/>
          <w:szCs w:val="22"/>
        </w:rPr>
        <w:t xml:space="preserve"> </w:t>
      </w:r>
      <w:r w:rsidR="000D7D5C" w:rsidRPr="000D7D5C">
        <w:rPr>
          <w:rFonts w:ascii="Arial" w:hAnsi="Arial" w:cs="Arial"/>
          <w:b/>
          <w:bCs/>
          <w:sz w:val="22"/>
          <w:szCs w:val="22"/>
        </w:rPr>
        <w:t>rules</w:t>
      </w:r>
      <w:r w:rsidR="00C737AC">
        <w:rPr>
          <w:rFonts w:ascii="Arial" w:hAnsi="Arial" w:cs="Arial"/>
          <w:b/>
          <w:bCs/>
          <w:sz w:val="22"/>
          <w:szCs w:val="22"/>
        </w:rPr>
        <w:t>-</w:t>
      </w:r>
      <w:r w:rsidR="000D7D5C" w:rsidRPr="000D7D5C">
        <w:rPr>
          <w:rFonts w:ascii="Arial" w:hAnsi="Arial" w:cs="Arial"/>
          <w:b/>
          <w:bCs/>
          <w:sz w:val="22"/>
          <w:szCs w:val="22"/>
        </w:rPr>
        <w:t>based</w:t>
      </w:r>
      <w:r w:rsidRPr="000D7D5C">
        <w:rPr>
          <w:rFonts w:ascii="Arial" w:hAnsi="Arial" w:cs="Arial"/>
          <w:b/>
          <w:bCs/>
          <w:sz w:val="22"/>
          <w:szCs w:val="22"/>
        </w:rPr>
        <w:t xml:space="preserve">, </w:t>
      </w:r>
      <w:r w:rsidRPr="008A54E8">
        <w:rPr>
          <w:rFonts w:ascii="Arial" w:hAnsi="Arial" w:cs="Arial"/>
          <w:b/>
          <w:bCs/>
          <w:sz w:val="22"/>
          <w:szCs w:val="22"/>
        </w:rPr>
        <w:t>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407C97F7" w14:textId="77777777" w:rsidR="006539DA" w:rsidRDefault="006539DA" w:rsidP="006539DA">
      <w:pPr>
        <w:rPr>
          <w:rFonts w:ascii="Arial" w:hAnsi="Arial" w:cs="Arial"/>
          <w:b/>
          <w:bCs/>
          <w:sz w:val="22"/>
          <w:szCs w:val="22"/>
        </w:rPr>
      </w:pPr>
      <w:r w:rsidRPr="008A54E8">
        <w:rPr>
          <w:rFonts w:ascii="Arial" w:hAnsi="Arial" w:cs="Arial"/>
          <w:b/>
          <w:bCs/>
          <w:sz w:val="22"/>
          <w:szCs w:val="22"/>
        </w:rPr>
        <w:t>How it works</w:t>
      </w:r>
    </w:p>
    <w:p w14:paraId="06DEB0C8" w14:textId="77777777" w:rsidR="006539DA" w:rsidRPr="008A54E8" w:rsidRDefault="006539DA" w:rsidP="006539DA">
      <w:pPr>
        <w:rPr>
          <w:rFonts w:ascii="Arial" w:hAnsi="Arial" w:cs="Arial"/>
          <w:sz w:val="22"/>
          <w:szCs w:val="22"/>
        </w:rPr>
      </w:pPr>
      <w:r w:rsidRPr="008A54E8">
        <w:rPr>
          <w:rFonts w:ascii="Arial" w:hAnsi="Arial" w:cs="Arial"/>
          <w:sz w:val="22"/>
          <w:szCs w:val="22"/>
        </w:rPr>
        <w:t>The score weighs what institutions watch every day:</w:t>
      </w:r>
    </w:p>
    <w:p w14:paraId="2830982A" w14:textId="77777777" w:rsidR="006539DA" w:rsidRDefault="006539DA" w:rsidP="006539DA">
      <w:pPr>
        <w:numPr>
          <w:ilvl w:val="0"/>
          <w:numId w:val="18"/>
        </w:numPr>
        <w:rPr>
          <w:rFonts w:ascii="Arial" w:hAnsi="Arial" w:cs="Arial"/>
          <w:sz w:val="22"/>
          <w:szCs w:val="22"/>
        </w:rPr>
      </w:pPr>
      <w:r w:rsidRPr="000D7D5C">
        <w:rPr>
          <w:rFonts w:ascii="Arial" w:hAnsi="Arial" w:cs="Arial"/>
          <w:b/>
          <w:bCs/>
          <w:sz w:val="22"/>
          <w:szCs w:val="22"/>
        </w:rPr>
        <w:t>Location vs Probable Ranges &amp; Anchors</w:t>
      </w:r>
      <w:r w:rsidRPr="000D7D5C">
        <w:rPr>
          <w:rFonts w:ascii="Arial" w:hAnsi="Arial" w:cs="Arial"/>
          <w:sz w:val="22"/>
          <w:szCs w:val="22"/>
        </w:rPr>
        <w:t xml:space="preserve"> — </w:t>
      </w:r>
      <w:r w:rsidRPr="00D17FEC">
        <w:rPr>
          <w:rFonts w:ascii="Arial" w:hAnsi="Arial" w:cs="Arial"/>
          <w:sz w:val="22"/>
          <w:szCs w:val="22"/>
        </w:rPr>
        <w:t>anti-stretch context.</w:t>
      </w:r>
    </w:p>
    <w:p w14:paraId="6B4A3CE0"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lastRenderedPageBreak/>
        <w:t>Trend alignment</w:t>
      </w:r>
      <w:r w:rsidRPr="00D17FEC">
        <w:rPr>
          <w:rFonts w:ascii="Arial" w:hAnsi="Arial" w:cs="Arial"/>
          <w:sz w:val="22"/>
          <w:szCs w:val="22"/>
        </w:rPr>
        <w:t xml:space="preserve"> — ST/MT vs LT, improving vs deteriorating.</w:t>
      </w:r>
    </w:p>
    <w:p w14:paraId="1A0E515E"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t>Volatility regime</w:t>
      </w:r>
      <w:r w:rsidRPr="00D17FEC">
        <w:rPr>
          <w:rFonts w:ascii="Arial" w:hAnsi="Arial" w:cs="Arial"/>
          <w:sz w:val="22"/>
          <w:szCs w:val="22"/>
        </w:rPr>
        <w:t xml:space="preserve"> — realized-vol z-rank with IV premium/discount context.</w:t>
      </w:r>
    </w:p>
    <w:p w14:paraId="32543D85" w14:textId="77777777" w:rsidR="006539DA" w:rsidRPr="00D17FEC" w:rsidRDefault="006539DA" w:rsidP="006539DA">
      <w:pPr>
        <w:numPr>
          <w:ilvl w:val="0"/>
          <w:numId w:val="18"/>
        </w:numPr>
        <w:rPr>
          <w:rFonts w:ascii="Arial" w:hAnsi="Arial" w:cs="Arial"/>
          <w:sz w:val="22"/>
          <w:szCs w:val="22"/>
        </w:rPr>
      </w:pPr>
      <w:r w:rsidRPr="00D17FEC">
        <w:rPr>
          <w:rFonts w:ascii="Arial" w:hAnsi="Arial" w:cs="Arial"/>
          <w:b/>
          <w:bCs/>
          <w:sz w:val="22"/>
          <w:szCs w:val="22"/>
        </w:rPr>
        <w:t>Crowding</w:t>
      </w:r>
      <w:r w:rsidRPr="00D17FEC">
        <w:rPr>
          <w:rFonts w:ascii="Arial" w:hAnsi="Arial" w:cs="Arial"/>
          <w:sz w:val="22"/>
          <w:szCs w:val="22"/>
        </w:rPr>
        <w:t xml:space="preserve"> — Ivol – Rvol spreads </w:t>
      </w:r>
      <w:r>
        <w:rPr>
          <w:rFonts w:ascii="Arial" w:hAnsi="Arial" w:cs="Arial"/>
          <w:sz w:val="22"/>
          <w:szCs w:val="22"/>
        </w:rPr>
        <w:t>(</w:t>
      </w:r>
      <w:r w:rsidRPr="00D17FEC">
        <w:rPr>
          <w:rFonts w:ascii="Arial" w:hAnsi="Arial" w:cs="Arial"/>
          <w:sz w:val="22"/>
          <w:szCs w:val="22"/>
        </w:rPr>
        <w:t>crowded short/long</w:t>
      </w:r>
      <w:r>
        <w:rPr>
          <w:rFonts w:ascii="Arial" w:hAnsi="Arial" w:cs="Arial"/>
          <w:sz w:val="22"/>
          <w:szCs w:val="22"/>
        </w:rPr>
        <w:t xml:space="preserve"> vs mean-revert</w:t>
      </w:r>
      <w:r w:rsidRPr="00D17FEC">
        <w:rPr>
          <w:rFonts w:ascii="Arial" w:hAnsi="Arial" w:cs="Arial"/>
          <w:sz w:val="22"/>
          <w:szCs w:val="22"/>
        </w:rPr>
        <w:t>)</w:t>
      </w:r>
    </w:p>
    <w:p w14:paraId="64C8DDE6" w14:textId="77777777" w:rsidR="006539DA" w:rsidRPr="000D7D5C" w:rsidRDefault="006539DA" w:rsidP="006539DA">
      <w:pPr>
        <w:numPr>
          <w:ilvl w:val="0"/>
          <w:numId w:val="18"/>
        </w:numPr>
        <w:rPr>
          <w:rFonts w:ascii="Arial" w:hAnsi="Arial" w:cs="Arial"/>
          <w:sz w:val="22"/>
          <w:szCs w:val="22"/>
        </w:rPr>
      </w:pPr>
      <w:r w:rsidRPr="000D7D5C">
        <w:rPr>
          <w:rFonts w:ascii="Arial" w:hAnsi="Arial" w:cs="Arial"/>
          <w:b/>
          <w:bCs/>
          <w:sz w:val="22"/>
          <w:szCs w:val="22"/>
        </w:rPr>
        <w:t xml:space="preserve">Quality/Persistence </w:t>
      </w:r>
      <w:r w:rsidRPr="000D7D5C">
        <w:rPr>
          <w:rFonts w:ascii="Arial" w:hAnsi="Arial" w:cs="Arial"/>
          <w:sz w:val="22"/>
          <w:szCs w:val="22"/>
        </w:rPr>
        <w:t>— Sharpe rank</w:t>
      </w:r>
    </w:p>
    <w:p w14:paraId="08F59E72" w14:textId="77777777" w:rsidR="006539DA" w:rsidRDefault="006539DA" w:rsidP="006539DA">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51CC1F61" w14:textId="77777777" w:rsidR="006539DA" w:rsidRPr="008A54E8" w:rsidRDefault="006539DA" w:rsidP="006539DA">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Pr="00AF3F4F">
        <w:rPr>
          <w:rFonts w:ascii="Arial" w:hAnsi="Arial" w:cs="Arial"/>
          <w:sz w:val="22"/>
          <w:szCs w:val="22"/>
        </w:rPr>
        <w:t xml:space="preserve">The </w:t>
      </w:r>
      <w:r w:rsidRPr="00AF3F4F">
        <w:rPr>
          <w:rFonts w:ascii="Arial" w:hAnsi="Arial" w:cs="Arial"/>
          <w:b/>
          <w:bCs/>
          <w:sz w:val="22"/>
          <w:szCs w:val="22"/>
        </w:rPr>
        <w:t>pinnacle</w:t>
      </w:r>
      <w:r w:rsidRPr="00AF3F4F">
        <w:rPr>
          <w:rFonts w:ascii="Arial" w:hAnsi="Arial" w:cs="Arial"/>
          <w:sz w:val="22"/>
          <w:szCs w:val="22"/>
        </w:rPr>
        <w:t xml:space="preserve"> of Markmentum Research is a disciplined, </w:t>
      </w:r>
      <w:r w:rsidRPr="00AF3F4F">
        <w:rPr>
          <w:rFonts w:ascii="Arial" w:hAnsi="Arial" w:cs="Arial"/>
          <w:b/>
          <w:bCs/>
          <w:sz w:val="22"/>
          <w:szCs w:val="22"/>
        </w:rPr>
        <w:t>rules-based contrarian score</w:t>
      </w:r>
      <w:r w:rsidRPr="00AF3F4F">
        <w:rPr>
          <w:rFonts w:ascii="Arial" w:hAnsi="Arial" w:cs="Arial"/>
          <w:sz w:val="22"/>
          <w:szCs w:val="22"/>
        </w:rPr>
        <w:t xml:space="preserve"> built to </w:t>
      </w:r>
      <w:r w:rsidRPr="00AF3F4F">
        <w:rPr>
          <w:rFonts w:ascii="Arial" w:hAnsi="Arial" w:cs="Arial"/>
          <w:b/>
          <w:bCs/>
          <w:sz w:val="22"/>
          <w:szCs w:val="22"/>
        </w:rPr>
        <w:t>avoid chasing stretch</w:t>
      </w:r>
      <w:r w:rsidRPr="00AF3F4F">
        <w:rPr>
          <w:rFonts w:ascii="Arial" w:hAnsi="Arial" w:cs="Arial"/>
          <w:sz w:val="22"/>
          <w:szCs w:val="22"/>
        </w:rPr>
        <w:t xml:space="preserve">, </w:t>
      </w:r>
      <w:r w:rsidRPr="00AF3F4F">
        <w:rPr>
          <w:rFonts w:ascii="Arial" w:hAnsi="Arial" w:cs="Arial"/>
          <w:b/>
          <w:bCs/>
          <w:sz w:val="22"/>
          <w:szCs w:val="22"/>
        </w:rPr>
        <w:t>spot crowding</w:t>
      </w:r>
      <w:r w:rsidRPr="00AF3F4F">
        <w:rPr>
          <w:rFonts w:ascii="Arial" w:hAnsi="Arial" w:cs="Arial"/>
          <w:sz w:val="22"/>
          <w:szCs w:val="22"/>
        </w:rPr>
        <w:t xml:space="preserve">, and </w:t>
      </w:r>
      <w:r w:rsidRPr="00AF3F4F">
        <w:rPr>
          <w:rFonts w:ascii="Arial" w:hAnsi="Arial" w:cs="Arial"/>
          <w:b/>
          <w:bCs/>
          <w:sz w:val="22"/>
          <w:szCs w:val="22"/>
        </w:rPr>
        <w:t>size conviction sensibly</w:t>
      </w:r>
      <w:r w:rsidRPr="00AF3F4F">
        <w:rPr>
          <w:rFonts w:ascii="Arial" w:hAnsi="Arial" w:cs="Arial"/>
          <w:sz w:val="22"/>
          <w:szCs w:val="22"/>
        </w:rPr>
        <w:t>. It’s the same style of framework institutions rely on—delivered with transparency and consistency.</w:t>
      </w:r>
    </w:p>
    <w:p w14:paraId="1EDCAD46" w14:textId="77777777" w:rsidR="006539DA" w:rsidRPr="008A54E8" w:rsidRDefault="006539DA" w:rsidP="006539DA">
      <w:pPr>
        <w:rPr>
          <w:rFonts w:ascii="Arial" w:hAnsi="Arial" w:cs="Arial"/>
          <w:sz w:val="22"/>
          <w:szCs w:val="22"/>
        </w:rPr>
      </w:pPr>
      <w:r w:rsidRPr="008A54E8">
        <w:rPr>
          <w:rFonts w:ascii="Arial" w:hAnsi="Arial" w:cs="Arial"/>
          <w:b/>
          <w:bCs/>
          <w:sz w:val="22"/>
          <w:szCs w:val="22"/>
        </w:rPr>
        <w:t>How to use</w:t>
      </w:r>
    </w:p>
    <w:p w14:paraId="12F01286"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1F036C15"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1562D74" w14:textId="77777777" w:rsidR="006539DA"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2F39623C" w14:textId="77777777" w:rsidR="00DA4938" w:rsidRDefault="00DA4938" w:rsidP="00DA4938">
      <w:pPr>
        <w:rPr>
          <w:rFonts w:ascii="Arial" w:hAnsi="Arial" w:cs="Arial"/>
          <w:b/>
          <w:bCs/>
          <w:sz w:val="22"/>
          <w:szCs w:val="22"/>
        </w:rPr>
      </w:pPr>
      <w:r w:rsidRPr="00ED7494">
        <w:rPr>
          <w:rFonts w:ascii="Arial" w:hAnsi="Arial" w:cs="Arial"/>
          <w:b/>
          <w:bCs/>
          <w:sz w:val="22"/>
          <w:szCs w:val="22"/>
        </w:rPr>
        <w:t xml:space="preserve">Important </w:t>
      </w:r>
      <w:r>
        <w:rPr>
          <w:rFonts w:ascii="Arial" w:hAnsi="Arial" w:cs="Arial"/>
          <w:b/>
          <w:bCs/>
          <w:sz w:val="22"/>
          <w:szCs w:val="22"/>
        </w:rPr>
        <w:t xml:space="preserve">Guardrail Rules to </w:t>
      </w:r>
      <w:r w:rsidRPr="00ED7494">
        <w:rPr>
          <w:rFonts w:ascii="Arial" w:hAnsi="Arial" w:cs="Arial"/>
          <w:b/>
          <w:bCs/>
          <w:sz w:val="22"/>
          <w:szCs w:val="22"/>
        </w:rPr>
        <w:t>Note:</w:t>
      </w:r>
    </w:p>
    <w:p w14:paraId="477A7109" w14:textId="77777777" w:rsidR="00DA4938" w:rsidRDefault="00DA4938" w:rsidP="00DA4938">
      <w:pPr>
        <w:rPr>
          <w:rFonts w:ascii="Arial" w:hAnsi="Arial" w:cs="Arial"/>
          <w:sz w:val="22"/>
          <w:szCs w:val="22"/>
        </w:rPr>
      </w:pPr>
      <w:r w:rsidRPr="00ED7494">
        <w:rPr>
          <w:rFonts w:ascii="Arial" w:hAnsi="Arial" w:cs="Arial"/>
          <w:sz w:val="22"/>
          <w:szCs w:val="22"/>
        </w:rPr>
        <w:drawing>
          <wp:inline distT="0" distB="0" distL="0" distR="0" wp14:anchorId="174F4A2A" wp14:editId="57DCEED2">
            <wp:extent cx="5943600" cy="2453005"/>
            <wp:effectExtent l="0" t="0" r="0" b="4445"/>
            <wp:docPr id="31597916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9163" name="Picture 1" descr="A graph with lines and numbers&#10;&#10;AI-generated content may be incorrect."/>
                    <pic:cNvPicPr/>
                  </pic:nvPicPr>
                  <pic:blipFill>
                    <a:blip r:embed="rId18"/>
                    <a:stretch>
                      <a:fillRect/>
                    </a:stretch>
                  </pic:blipFill>
                  <pic:spPr>
                    <a:xfrm>
                      <a:off x="0" y="0"/>
                      <a:ext cx="5943600" cy="2453005"/>
                    </a:xfrm>
                    <a:prstGeom prst="rect">
                      <a:avLst/>
                    </a:prstGeom>
                  </pic:spPr>
                </pic:pic>
              </a:graphicData>
            </a:graphic>
          </wp:inline>
        </w:drawing>
      </w:r>
    </w:p>
    <w:p w14:paraId="3F4F4CEC" w14:textId="77777777" w:rsidR="00DA4938" w:rsidRDefault="00DA4938" w:rsidP="00DA4938">
      <w:pPr>
        <w:rPr>
          <w:rFonts w:ascii="Arial" w:hAnsi="Arial" w:cs="Arial"/>
          <w:sz w:val="22"/>
          <w:szCs w:val="22"/>
        </w:rPr>
      </w:pPr>
      <w:r w:rsidRPr="00ED7494">
        <w:rPr>
          <w:rFonts w:ascii="Arial" w:hAnsi="Arial" w:cs="Arial"/>
          <w:b/>
          <w:bCs/>
          <w:sz w:val="22"/>
          <w:szCs w:val="22"/>
        </w:rPr>
        <w:lastRenderedPageBreak/>
        <w:t>Mean-reversion guardrail (15% haircut):</w:t>
      </w:r>
      <w:r w:rsidRPr="00ED7494">
        <w:rPr>
          <w:rFonts w:ascii="Arial" w:hAnsi="Arial" w:cs="Arial"/>
          <w:sz w:val="22"/>
          <w:szCs w:val="22"/>
        </w:rPr>
        <w:t xml:space="preserve"> When the </w:t>
      </w:r>
      <w:r w:rsidRPr="00ED7494">
        <w:rPr>
          <w:rFonts w:ascii="Arial" w:hAnsi="Arial" w:cs="Arial"/>
          <w:b/>
          <w:bCs/>
          <w:sz w:val="22"/>
          <w:szCs w:val="22"/>
        </w:rPr>
        <w:t>Long-Term Trend</w:t>
      </w:r>
      <w:r w:rsidRPr="00ED7494">
        <w:rPr>
          <w:rFonts w:ascii="Arial" w:hAnsi="Arial" w:cs="Arial"/>
          <w:sz w:val="22"/>
          <w:szCs w:val="22"/>
        </w:rPr>
        <w:t xml:space="preserve"> rises </w:t>
      </w:r>
      <w:r w:rsidRPr="00ED7494">
        <w:rPr>
          <w:rFonts w:ascii="Arial" w:hAnsi="Arial" w:cs="Arial"/>
          <w:b/>
          <w:bCs/>
          <w:sz w:val="22"/>
          <w:szCs w:val="22"/>
        </w:rPr>
        <w:t>at or above</w:t>
      </w:r>
      <w:r w:rsidRPr="00ED7494">
        <w:rPr>
          <w:rFonts w:ascii="Arial" w:hAnsi="Arial" w:cs="Arial"/>
          <w:sz w:val="22"/>
          <w:szCs w:val="22"/>
        </w:rPr>
        <w:t xml:space="preserve"> its </w:t>
      </w:r>
      <w:r w:rsidRPr="00ED7494">
        <w:rPr>
          <w:rFonts w:ascii="Arial" w:hAnsi="Arial" w:cs="Arial"/>
          <w:b/>
          <w:bCs/>
          <w:sz w:val="22"/>
          <w:szCs w:val="22"/>
        </w:rPr>
        <w:t>High line</w:t>
      </w:r>
      <w:r w:rsidRPr="00ED7494">
        <w:rPr>
          <w:rFonts w:ascii="Arial" w:hAnsi="Arial" w:cs="Arial"/>
          <w:sz w:val="22"/>
          <w:szCs w:val="22"/>
        </w:rPr>
        <w:t xml:space="preserve"> (mean + 1σ), we reduce the score by </w:t>
      </w:r>
      <w:r w:rsidRPr="00ED7494">
        <w:rPr>
          <w:rFonts w:ascii="Arial" w:hAnsi="Arial" w:cs="Arial"/>
          <w:b/>
          <w:bCs/>
          <w:sz w:val="22"/>
          <w:szCs w:val="22"/>
        </w:rPr>
        <w:t>15%</w:t>
      </w:r>
      <w:r w:rsidRPr="00ED7494">
        <w:rPr>
          <w:rFonts w:ascii="Arial" w:hAnsi="Arial" w:cs="Arial"/>
          <w:sz w:val="22"/>
          <w:szCs w:val="22"/>
        </w:rPr>
        <w:t xml:space="preserve"> to account for mean-reversion risk.</w:t>
      </w:r>
      <w:r w:rsidRPr="00ED7494">
        <w:rPr>
          <w:rFonts w:ascii="Arial" w:hAnsi="Arial" w:cs="Arial"/>
          <w:sz w:val="22"/>
          <w:szCs w:val="22"/>
        </w:rPr>
        <w:drawing>
          <wp:inline distT="0" distB="0" distL="0" distR="0" wp14:anchorId="51C2C5A8" wp14:editId="38258FEE">
            <wp:extent cx="5943600" cy="2016125"/>
            <wp:effectExtent l="0" t="0" r="0" b="3175"/>
            <wp:docPr id="1632274426" name="Picture 1" descr="A graph of a graph showing the number of the sam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4426" name="Picture 1" descr="A graph of a graph showing the number of the same numbers&#10;&#10;AI-generated content may be incorrect."/>
                    <pic:cNvPicPr/>
                  </pic:nvPicPr>
                  <pic:blipFill>
                    <a:blip r:embed="rId19"/>
                    <a:stretch>
                      <a:fillRect/>
                    </a:stretch>
                  </pic:blipFill>
                  <pic:spPr>
                    <a:xfrm>
                      <a:off x="0" y="0"/>
                      <a:ext cx="5943600" cy="2016125"/>
                    </a:xfrm>
                    <a:prstGeom prst="rect">
                      <a:avLst/>
                    </a:prstGeom>
                  </pic:spPr>
                </pic:pic>
              </a:graphicData>
            </a:graphic>
          </wp:inline>
        </w:drawing>
      </w:r>
    </w:p>
    <w:p w14:paraId="6046CDBA" w14:textId="77777777" w:rsidR="00DA4938" w:rsidRPr="00ED7494" w:rsidRDefault="00DA4938" w:rsidP="00DA4938">
      <w:pPr>
        <w:rPr>
          <w:rFonts w:ascii="Arial" w:hAnsi="Arial" w:cs="Arial"/>
          <w:sz w:val="22"/>
          <w:szCs w:val="22"/>
        </w:rPr>
      </w:pPr>
      <w:r w:rsidRPr="00ED7494">
        <w:rPr>
          <w:rFonts w:ascii="Arial" w:hAnsi="Arial" w:cs="Arial"/>
          <w:b/>
          <w:bCs/>
          <w:sz w:val="22"/>
          <w:szCs w:val="22"/>
        </w:rPr>
        <w:t>Uncertainty guardrail (score = 0):</w:t>
      </w:r>
      <w:r w:rsidRPr="00ED7494">
        <w:rPr>
          <w:rFonts w:ascii="Arial" w:hAnsi="Arial" w:cs="Arial"/>
          <w:sz w:val="22"/>
          <w:szCs w:val="22"/>
        </w:rPr>
        <w:t xml:space="preserve"> When </w:t>
      </w:r>
      <w:r w:rsidRPr="00ED7494">
        <w:rPr>
          <w:rFonts w:ascii="Arial" w:hAnsi="Arial" w:cs="Arial"/>
          <w:b/>
          <w:bCs/>
          <w:sz w:val="22"/>
          <w:szCs w:val="22"/>
        </w:rPr>
        <w:t>either</w:t>
      </w:r>
      <w:r w:rsidRPr="00ED7494">
        <w:rPr>
          <w:rFonts w:ascii="Arial" w:hAnsi="Arial" w:cs="Arial"/>
          <w:sz w:val="22"/>
          <w:szCs w:val="22"/>
        </w:rPr>
        <w:t xml:space="preserve"> the </w:t>
      </w:r>
      <w:r w:rsidRPr="00ED7494">
        <w:rPr>
          <w:rFonts w:ascii="Arial" w:hAnsi="Arial" w:cs="Arial"/>
          <w:b/>
          <w:bCs/>
          <w:sz w:val="22"/>
          <w:szCs w:val="22"/>
        </w:rPr>
        <w:t>Day</w:t>
      </w:r>
      <w:r w:rsidRPr="00ED7494">
        <w:rPr>
          <w:rFonts w:ascii="Arial" w:hAnsi="Arial" w:cs="Arial"/>
          <w:sz w:val="22"/>
          <w:szCs w:val="22"/>
        </w:rPr>
        <w:t xml:space="preserve"> </w:t>
      </w:r>
      <w:r w:rsidRPr="00ED7494">
        <w:rPr>
          <w:rFonts w:ascii="Arial" w:hAnsi="Arial" w:cs="Arial"/>
          <w:i/>
          <w:iCs/>
          <w:sz w:val="22"/>
          <w:szCs w:val="22"/>
        </w:rPr>
        <w:t>or</w:t>
      </w:r>
      <w:r w:rsidRPr="00ED7494">
        <w:rPr>
          <w:rFonts w:ascii="Arial" w:hAnsi="Arial" w:cs="Arial"/>
          <w:sz w:val="22"/>
          <w:szCs w:val="22"/>
        </w:rPr>
        <w:t xml:space="preserve"> </w:t>
      </w:r>
      <w:r w:rsidRPr="00ED7494">
        <w:rPr>
          <w:rFonts w:ascii="Arial" w:hAnsi="Arial" w:cs="Arial"/>
          <w:b/>
          <w:bCs/>
          <w:sz w:val="22"/>
          <w:szCs w:val="22"/>
        </w:rPr>
        <w:t>Week</w:t>
      </w:r>
      <w:r w:rsidRPr="00ED7494">
        <w:rPr>
          <w:rFonts w:ascii="Arial" w:hAnsi="Arial" w:cs="Arial"/>
          <w:sz w:val="22"/>
          <w:szCs w:val="22"/>
        </w:rPr>
        <w:t xml:space="preserve"> probable-range </w:t>
      </w:r>
      <w:r w:rsidRPr="00ED7494">
        <w:rPr>
          <w:rFonts w:ascii="Arial" w:hAnsi="Arial" w:cs="Arial"/>
          <w:b/>
          <w:bCs/>
          <w:sz w:val="22"/>
          <w:szCs w:val="22"/>
        </w:rPr>
        <w:t>low</w:t>
      </w:r>
      <w:r w:rsidRPr="00ED7494">
        <w:rPr>
          <w:rFonts w:ascii="Arial" w:hAnsi="Arial" w:cs="Arial"/>
          <w:sz w:val="22"/>
          <w:szCs w:val="22"/>
        </w:rPr>
        <w:t xml:space="preserve"> falls </w:t>
      </w:r>
      <w:r w:rsidRPr="00ED7494">
        <w:rPr>
          <w:rFonts w:ascii="Arial" w:hAnsi="Arial" w:cs="Arial"/>
          <w:b/>
          <w:bCs/>
          <w:sz w:val="22"/>
          <w:szCs w:val="22"/>
        </w:rPr>
        <w:t>at or below</w:t>
      </w:r>
      <w:r w:rsidRPr="00ED7494">
        <w:rPr>
          <w:rFonts w:ascii="Arial" w:hAnsi="Arial" w:cs="Arial"/>
          <w:sz w:val="22"/>
          <w:szCs w:val="22"/>
        </w:rPr>
        <w:t xml:space="preserve"> the </w:t>
      </w:r>
      <w:r w:rsidRPr="00ED7494">
        <w:rPr>
          <w:rFonts w:ascii="Arial" w:hAnsi="Arial" w:cs="Arial"/>
          <w:b/>
          <w:bCs/>
          <w:sz w:val="22"/>
          <w:szCs w:val="22"/>
        </w:rPr>
        <w:t>Month</w:t>
      </w:r>
      <w:r w:rsidRPr="00ED7494">
        <w:rPr>
          <w:rFonts w:ascii="Arial" w:hAnsi="Arial" w:cs="Arial"/>
          <w:sz w:val="22"/>
          <w:szCs w:val="22"/>
        </w:rPr>
        <w:t xml:space="preserve"> probable-range </w:t>
      </w:r>
      <w:r w:rsidRPr="00ED7494">
        <w:rPr>
          <w:rFonts w:ascii="Arial" w:hAnsi="Arial" w:cs="Arial"/>
          <w:b/>
          <w:bCs/>
          <w:sz w:val="22"/>
          <w:szCs w:val="22"/>
        </w:rPr>
        <w:t>low</w:t>
      </w:r>
      <w:r w:rsidRPr="00ED7494">
        <w:rPr>
          <w:rFonts w:ascii="Arial" w:hAnsi="Arial" w:cs="Arial"/>
          <w:sz w:val="22"/>
          <w:szCs w:val="22"/>
        </w:rPr>
        <w:t xml:space="preserve">, timeframes are in conflict. We set the score to </w:t>
      </w:r>
      <w:r w:rsidRPr="00ED7494">
        <w:rPr>
          <w:rFonts w:ascii="Arial" w:hAnsi="Arial" w:cs="Arial"/>
          <w:b/>
          <w:bCs/>
          <w:sz w:val="22"/>
          <w:szCs w:val="22"/>
        </w:rPr>
        <w:t>zero</w:t>
      </w:r>
      <w:r w:rsidRPr="00ED7494">
        <w:rPr>
          <w:rFonts w:ascii="Arial" w:hAnsi="Arial" w:cs="Arial"/>
          <w:sz w:val="22"/>
          <w:szCs w:val="22"/>
        </w:rPr>
        <w:t xml:space="preserve"> until the conflict clears.</w:t>
      </w:r>
    </w:p>
    <w:p w14:paraId="3303D525" w14:textId="77777777" w:rsidR="00DA4938" w:rsidRPr="00DA4938" w:rsidRDefault="00DA4938" w:rsidP="00DA4938">
      <w:pPr>
        <w:rPr>
          <w:rFonts w:ascii="Arial" w:hAnsi="Arial" w:cs="Arial"/>
          <w:sz w:val="22"/>
          <w:szCs w:val="22"/>
        </w:rPr>
      </w:pPr>
    </w:p>
    <w:p w14:paraId="795AE613" w14:textId="77777777" w:rsidR="00DA4938" w:rsidRPr="008A54E8" w:rsidRDefault="00DA4938" w:rsidP="00DA4938">
      <w:pPr>
        <w:rPr>
          <w:rFonts w:ascii="Arial" w:hAnsi="Arial" w:cs="Arial"/>
          <w:i/>
          <w:iCs/>
          <w:sz w:val="22"/>
          <w:szCs w:val="22"/>
        </w:rPr>
      </w:pPr>
    </w:p>
    <w:p w14:paraId="421AB473" w14:textId="77777777" w:rsidR="006539DA" w:rsidRPr="008A54E8" w:rsidRDefault="006539DA" w:rsidP="006539DA">
      <w:pPr>
        <w:rPr>
          <w:rFonts w:ascii="Arial" w:hAnsi="Arial" w:cs="Arial"/>
          <w:sz w:val="22"/>
          <w:szCs w:val="22"/>
        </w:rPr>
      </w:pPr>
    </w:p>
    <w:p w14:paraId="44CF46D6" w14:textId="77777777" w:rsidR="000472EE" w:rsidRPr="008A54E8" w:rsidRDefault="000472EE" w:rsidP="006539DA">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0D7D5C"/>
    <w:rsid w:val="00102250"/>
    <w:rsid w:val="00136E36"/>
    <w:rsid w:val="00143E0F"/>
    <w:rsid w:val="00196C38"/>
    <w:rsid w:val="00225477"/>
    <w:rsid w:val="0023070F"/>
    <w:rsid w:val="00243F05"/>
    <w:rsid w:val="002A4831"/>
    <w:rsid w:val="00307B2B"/>
    <w:rsid w:val="003876E2"/>
    <w:rsid w:val="003B0C91"/>
    <w:rsid w:val="00435D09"/>
    <w:rsid w:val="00495274"/>
    <w:rsid w:val="006539DA"/>
    <w:rsid w:val="006634AB"/>
    <w:rsid w:val="00780E43"/>
    <w:rsid w:val="007D45F1"/>
    <w:rsid w:val="00875361"/>
    <w:rsid w:val="008A125E"/>
    <w:rsid w:val="008A54E8"/>
    <w:rsid w:val="008E04CF"/>
    <w:rsid w:val="00920830"/>
    <w:rsid w:val="00976045"/>
    <w:rsid w:val="00A109CC"/>
    <w:rsid w:val="00A50735"/>
    <w:rsid w:val="00A95935"/>
    <w:rsid w:val="00B96A39"/>
    <w:rsid w:val="00BC387E"/>
    <w:rsid w:val="00C37632"/>
    <w:rsid w:val="00C737AC"/>
    <w:rsid w:val="00CC23E8"/>
    <w:rsid w:val="00CC30F0"/>
    <w:rsid w:val="00CF5037"/>
    <w:rsid w:val="00D675BC"/>
    <w:rsid w:val="00DA4938"/>
    <w:rsid w:val="00DD0314"/>
    <w:rsid w:val="00DE3333"/>
    <w:rsid w:val="00DF0F47"/>
    <w:rsid w:val="00DF647A"/>
    <w:rsid w:val="00E32A1F"/>
    <w:rsid w:val="00E4423B"/>
    <w:rsid w:val="00E72063"/>
    <w:rsid w:val="00E72BBF"/>
    <w:rsid w:val="00E744C9"/>
    <w:rsid w:val="00E83DE6"/>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11</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19</cp:revision>
  <dcterms:created xsi:type="dcterms:W3CDTF">2025-10-07T19:57:00Z</dcterms:created>
  <dcterms:modified xsi:type="dcterms:W3CDTF">2025-10-13T18:03:00Z</dcterms:modified>
</cp:coreProperties>
</file>