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0C89" w14:textId="3EA710DA" w:rsidR="002448F8" w:rsidRPr="002448F8" w:rsidRDefault="002448F8" w:rsidP="002448F8">
      <w:r w:rsidRPr="002448F8">
        <w:rPr>
          <w:b/>
          <w:bCs/>
        </w:rPr>
        <w:t>Bottom line:</w:t>
      </w:r>
      <w:r w:rsidRPr="002448F8">
        <w:t xml:space="preserve"> Gold’s modest bid and firm yields suggest inflation expectations remain sticky even as growth sentiment stabilizes. The setup points to a </w:t>
      </w:r>
      <w:r w:rsidRPr="002448F8">
        <w:rPr>
          <w:b/>
          <w:bCs/>
        </w:rPr>
        <w:t>late-cycle reflation tone</w:t>
      </w:r>
      <w:r w:rsidRPr="002448F8">
        <w:t>, where growth edges higher amid persistent inflation pressures</w:t>
      </w:r>
      <w:r>
        <w:t>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114DC"/>
    <w:rsid w:val="00132CE2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448F8"/>
    <w:rsid w:val="0026526D"/>
    <w:rsid w:val="00281CFA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66E16"/>
    <w:rsid w:val="009C43A2"/>
    <w:rsid w:val="00A01661"/>
    <w:rsid w:val="00A1108A"/>
    <w:rsid w:val="00A54963"/>
    <w:rsid w:val="00A66203"/>
    <w:rsid w:val="00AF286D"/>
    <w:rsid w:val="00CE7F9D"/>
    <w:rsid w:val="00D31655"/>
    <w:rsid w:val="00D437F3"/>
    <w:rsid w:val="00D737A3"/>
    <w:rsid w:val="00DC7E63"/>
    <w:rsid w:val="00DE04B3"/>
    <w:rsid w:val="00E300B3"/>
    <w:rsid w:val="00E32A1F"/>
    <w:rsid w:val="00E40A63"/>
    <w:rsid w:val="00E55ACE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</cp:revision>
  <dcterms:created xsi:type="dcterms:W3CDTF">2025-10-14T15:51:00Z</dcterms:created>
  <dcterms:modified xsi:type="dcterms:W3CDTF">2025-10-14T16:00:00Z</dcterms:modified>
</cp:coreProperties>
</file>