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897224" w14:textId="77777777" w:rsidR="00345F52" w:rsidRDefault="00000000">
      <w:r>
        <w:t>Monthly Market Read: December 24, 2025</w:t>
      </w:r>
    </w:p>
    <w:p w14:paraId="6D39892B" w14:textId="77777777" w:rsidR="00345F52" w:rsidRDefault="00000000">
      <w:r>
        <w:t>The market is saying (all numbers are MTD % returns):</w:t>
      </w:r>
    </w:p>
    <w:p w14:paraId="535027D6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Breadth: 56.0% of names are positive.</w:t>
      </w:r>
    </w:p>
    <w:p w14:paraId="45152844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Information Technology: leading (avg +3.07%)</w:t>
      </w:r>
    </w:p>
    <w:p w14:paraId="57B68547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Industrials: leading (avg +2.83%)</w:t>
      </w:r>
    </w:p>
    <w:p w14:paraId="1023E710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Consumer Staples: lagging (avg -1.29%)</w:t>
      </w:r>
    </w:p>
    <w:p w14:paraId="4C64045D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Consumer Discretionary: leading (avg +2.84%)</w:t>
      </w:r>
    </w:p>
    <w:p w14:paraId="34083C6D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Financials: leading (avg +5.17%)</w:t>
      </w:r>
    </w:p>
    <w:p w14:paraId="3B02F6DE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Utilities: lagging (avg -4.56%)</w:t>
      </w:r>
    </w:p>
    <w:p w14:paraId="7BC5713F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Real Estate: lagging (avg -1.61%)</w:t>
      </w:r>
    </w:p>
    <w:p w14:paraId="60966C7B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Materials: leading (avg +1.98%)</w:t>
      </w:r>
    </w:p>
    <w:p w14:paraId="05CC886C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Energy: lagging (avg -2.62%)</w:t>
      </w:r>
    </w:p>
    <w:p w14:paraId="129A53A1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Health Care: lagging (avg -0.68%)</w:t>
      </w:r>
    </w:p>
    <w:p w14:paraId="45870A66" w14:textId="77777777" w:rsidR="00345F52" w:rsidRDefault="00000000" w:rsidP="00B2209E">
      <w:pPr>
        <w:pStyle w:val="ListBullet"/>
        <w:numPr>
          <w:ilvl w:val="0"/>
          <w:numId w:val="10"/>
        </w:numPr>
      </w:pPr>
      <w:r>
        <w:t>Communication Services: leading (avg +3.78%)</w:t>
      </w:r>
    </w:p>
    <w:p w14:paraId="620A2948" w14:textId="77777777" w:rsidR="00345F52" w:rsidRDefault="00000000">
      <w:r>
        <w:t>Macro levers (MTD % returns):</w:t>
      </w:r>
    </w:p>
    <w:p w14:paraId="3ADEA432" w14:textId="77777777" w:rsidR="00345F52" w:rsidRDefault="00000000" w:rsidP="00B2209E">
      <w:pPr>
        <w:pStyle w:val="ListBullet"/>
        <w:numPr>
          <w:ilvl w:val="0"/>
          <w:numId w:val="11"/>
        </w:numPr>
      </w:pPr>
      <w:r>
        <w:t>Gold: leading (avg +6.20%)</w:t>
      </w:r>
    </w:p>
    <w:p w14:paraId="0A4DE15E" w14:textId="77777777" w:rsidR="00345F52" w:rsidRDefault="00000000" w:rsidP="00B2209E">
      <w:pPr>
        <w:pStyle w:val="ListBullet"/>
        <w:numPr>
          <w:ilvl w:val="0"/>
          <w:numId w:val="11"/>
        </w:numPr>
      </w:pPr>
      <w:r>
        <w:t>USD: soft (avg -4.47%)</w:t>
      </w:r>
    </w:p>
    <w:p w14:paraId="68CB8666" w14:textId="77777777" w:rsidR="00345F52" w:rsidRDefault="00000000" w:rsidP="00B2209E">
      <w:pPr>
        <w:pStyle w:val="ListBullet"/>
        <w:numPr>
          <w:ilvl w:val="0"/>
          <w:numId w:val="11"/>
        </w:numPr>
      </w:pPr>
      <w:r>
        <w:t>Yields: leading (avg +3.02%)</w:t>
      </w:r>
    </w:p>
    <w:p w14:paraId="62EFDA2F" w14:textId="77777777" w:rsidR="00345F52" w:rsidRDefault="00000000" w:rsidP="00B2209E">
      <w:pPr>
        <w:pStyle w:val="ListBullet"/>
        <w:numPr>
          <w:ilvl w:val="0"/>
          <w:numId w:val="11"/>
        </w:numPr>
      </w:pPr>
      <w:r>
        <w:t>Bonds: soft (avg -1.42%)</w:t>
      </w:r>
    </w:p>
    <w:p w14:paraId="269222D4" w14:textId="77777777" w:rsidR="00345F52" w:rsidRDefault="00000000" w:rsidP="00B2209E">
      <w:pPr>
        <w:pStyle w:val="ListBullet"/>
        <w:numPr>
          <w:ilvl w:val="0"/>
          <w:numId w:val="11"/>
        </w:numPr>
      </w:pPr>
      <w:r>
        <w:t>Energy complex: soft (avg -8.55%)</w:t>
      </w:r>
    </w:p>
    <w:p w14:paraId="21C51138" w14:textId="77777777" w:rsidR="00345F52" w:rsidRDefault="00000000">
      <w:r>
        <w:t xml:space="preserve">Bottom line: Breadth is constructive with 56% of names positive MTD, and the tape continues to reward cyclicals and growth-sensitive areas as Communication Services, Technology, Financials, Consumer Discretionary, Industrials, and Materials lead, while classic defensives and bond-proxies like Utilities, Real Estate, Consumer Staples, Health Care, and Energy underperform. </w:t>
      </w:r>
      <w:bookmarkStart w:id="0" w:name="_Hlk217474491"/>
      <w:r>
        <w:t>Macro posture shows growth is slowing on a rolling-month basis while inflation eases off the highs but remains above pre-COVID norms, and that mix is echoed in the macro levers with a weaker USD, strong Gold, rising yields, softer bonds, and a pressured energy complex all pointing to an environment where investors are rotating toward higher-beta, rate-resilient risk assets even as underlying growth and earnings expectations grind lower.</w:t>
      </w:r>
      <w:bookmarkEnd w:id="0"/>
    </w:p>
    <w:sectPr w:rsidR="00345F5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5923D5"/>
    <w:multiLevelType w:val="hybridMultilevel"/>
    <w:tmpl w:val="A412E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8119C5"/>
    <w:multiLevelType w:val="hybridMultilevel"/>
    <w:tmpl w:val="970AD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5707091">
    <w:abstractNumId w:val="8"/>
  </w:num>
  <w:num w:numId="2" w16cid:durableId="1903711688">
    <w:abstractNumId w:val="6"/>
  </w:num>
  <w:num w:numId="3" w16cid:durableId="1891335854">
    <w:abstractNumId w:val="5"/>
  </w:num>
  <w:num w:numId="4" w16cid:durableId="28920195">
    <w:abstractNumId w:val="4"/>
  </w:num>
  <w:num w:numId="5" w16cid:durableId="2027438861">
    <w:abstractNumId w:val="7"/>
  </w:num>
  <w:num w:numId="6" w16cid:durableId="751584539">
    <w:abstractNumId w:val="3"/>
  </w:num>
  <w:num w:numId="7" w16cid:durableId="1358702131">
    <w:abstractNumId w:val="2"/>
  </w:num>
  <w:num w:numId="8" w16cid:durableId="46806994">
    <w:abstractNumId w:val="1"/>
  </w:num>
  <w:num w:numId="9" w16cid:durableId="400294438">
    <w:abstractNumId w:val="0"/>
  </w:num>
  <w:num w:numId="10" w16cid:durableId="460734800">
    <w:abstractNumId w:val="9"/>
  </w:num>
  <w:num w:numId="11" w16cid:durableId="14512354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45F52"/>
    <w:rsid w:val="00AA1D8D"/>
    <w:rsid w:val="00AA2E66"/>
    <w:rsid w:val="00B2209E"/>
    <w:rsid w:val="00B47730"/>
    <w:rsid w:val="00CB0664"/>
    <w:rsid w:val="00E026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42ABDA7"/>
  <w14:defaultImageDpi w14:val="300"/>
  <w15:docId w15:val="{EF3E8FAF-62FD-4079-B45B-E5520412E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211</Words>
  <Characters>1305</Characters>
  <Application>Microsoft Office Word</Application>
  <DocSecurity>0</DocSecurity>
  <Lines>30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Gary Markoski</cp:lastModifiedBy>
  <cp:revision>4</cp:revision>
  <dcterms:created xsi:type="dcterms:W3CDTF">2025-12-24T18:14:00Z</dcterms:created>
  <dcterms:modified xsi:type="dcterms:W3CDTF">2025-12-24T18:14:00Z</dcterms:modified>
  <cp:category/>
</cp:coreProperties>
</file>