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30492" w14:textId="77777777" w:rsidR="00FF0080" w:rsidRDefault="00000000">
      <w:r>
        <w:t>Quarterly Market Read: December 24, 2025</w:t>
      </w:r>
    </w:p>
    <w:p w14:paraId="746A13E6" w14:textId="77777777" w:rsidR="00FF0080" w:rsidRDefault="00000000">
      <w:r>
        <w:t>The market is saying (all numbers are QTD % returns):</w:t>
      </w:r>
    </w:p>
    <w:p w14:paraId="248A48E1" w14:textId="77777777" w:rsidR="00FF0080" w:rsidRDefault="00000000" w:rsidP="00765C12">
      <w:pPr>
        <w:pStyle w:val="ListBullet"/>
        <w:numPr>
          <w:ilvl w:val="0"/>
          <w:numId w:val="10"/>
        </w:numPr>
      </w:pPr>
      <w:r>
        <w:t>Breadth: 53.5% of names are positive.</w:t>
      </w:r>
    </w:p>
    <w:p w14:paraId="681AAFFC" w14:textId="77777777" w:rsidR="00FF0080" w:rsidRDefault="00000000" w:rsidP="00765C12">
      <w:pPr>
        <w:pStyle w:val="ListBullet"/>
        <w:numPr>
          <w:ilvl w:val="0"/>
          <w:numId w:val="10"/>
        </w:numPr>
      </w:pPr>
      <w:r>
        <w:t>Information Technology: leading (avg +5.31%)</w:t>
      </w:r>
    </w:p>
    <w:p w14:paraId="62DE44FD" w14:textId="77777777" w:rsidR="00FF0080" w:rsidRDefault="00000000" w:rsidP="00765C12">
      <w:pPr>
        <w:pStyle w:val="ListBullet"/>
        <w:numPr>
          <w:ilvl w:val="0"/>
          <w:numId w:val="10"/>
        </w:numPr>
      </w:pPr>
      <w:r>
        <w:t>Industrials: firm (avg +2.49%)</w:t>
      </w:r>
    </w:p>
    <w:p w14:paraId="04099413" w14:textId="77777777" w:rsidR="00FF0080" w:rsidRDefault="00000000" w:rsidP="00765C12">
      <w:pPr>
        <w:pStyle w:val="ListBullet"/>
        <w:numPr>
          <w:ilvl w:val="0"/>
          <w:numId w:val="10"/>
        </w:numPr>
      </w:pPr>
      <w:r>
        <w:t>Consumer Staples: flat/firm (avg -0.11%)</w:t>
      </w:r>
    </w:p>
    <w:p w14:paraId="7E826188" w14:textId="77777777" w:rsidR="00FF0080" w:rsidRDefault="00000000" w:rsidP="00765C12">
      <w:pPr>
        <w:pStyle w:val="ListBullet"/>
        <w:numPr>
          <w:ilvl w:val="0"/>
          <w:numId w:val="10"/>
        </w:numPr>
      </w:pPr>
      <w:r>
        <w:t>Consumer Discretionary: flat/firm (avg +0.28%)</w:t>
      </w:r>
    </w:p>
    <w:p w14:paraId="6AE4AD4B" w14:textId="77777777" w:rsidR="00FF0080" w:rsidRDefault="00000000" w:rsidP="00765C12">
      <w:pPr>
        <w:pStyle w:val="ListBullet"/>
        <w:numPr>
          <w:ilvl w:val="0"/>
          <w:numId w:val="10"/>
        </w:numPr>
      </w:pPr>
      <w:r>
        <w:t>Financials: firm (avg +3.00%)</w:t>
      </w:r>
    </w:p>
    <w:p w14:paraId="61D8FF12" w14:textId="77777777" w:rsidR="00FF0080" w:rsidRDefault="00000000" w:rsidP="00765C12">
      <w:pPr>
        <w:pStyle w:val="ListBullet"/>
        <w:numPr>
          <w:ilvl w:val="0"/>
          <w:numId w:val="10"/>
        </w:numPr>
      </w:pPr>
      <w:r>
        <w:t>Utilities: soft (avg -2.33%)</w:t>
      </w:r>
    </w:p>
    <w:p w14:paraId="5CBE33DF" w14:textId="77777777" w:rsidR="00FF0080" w:rsidRDefault="00000000" w:rsidP="00765C12">
      <w:pPr>
        <w:pStyle w:val="ListBullet"/>
        <w:numPr>
          <w:ilvl w:val="0"/>
          <w:numId w:val="10"/>
        </w:numPr>
      </w:pPr>
      <w:r>
        <w:t>Real Estate: heavy (avg -5.28%)</w:t>
      </w:r>
    </w:p>
    <w:p w14:paraId="07D8E628" w14:textId="77777777" w:rsidR="00FF0080" w:rsidRDefault="00000000" w:rsidP="00765C12">
      <w:pPr>
        <w:pStyle w:val="ListBullet"/>
        <w:numPr>
          <w:ilvl w:val="0"/>
          <w:numId w:val="10"/>
        </w:numPr>
      </w:pPr>
      <w:r>
        <w:t>Materials: leading (avg +4.57%)</w:t>
      </w:r>
    </w:p>
    <w:p w14:paraId="27022E7A" w14:textId="77777777" w:rsidR="00FF0080" w:rsidRDefault="00000000" w:rsidP="00765C12">
      <w:pPr>
        <w:pStyle w:val="ListBullet"/>
        <w:numPr>
          <w:ilvl w:val="0"/>
          <w:numId w:val="10"/>
        </w:numPr>
      </w:pPr>
      <w:r>
        <w:t>Energy: soft (avg -0.77%)</w:t>
      </w:r>
    </w:p>
    <w:p w14:paraId="19BDBCAA" w14:textId="77777777" w:rsidR="00FF0080" w:rsidRDefault="00000000" w:rsidP="00765C12">
      <w:pPr>
        <w:pStyle w:val="ListBullet"/>
        <w:numPr>
          <w:ilvl w:val="0"/>
          <w:numId w:val="10"/>
        </w:numPr>
      </w:pPr>
      <w:r>
        <w:t>Health Care: leading (avg +9.33%)</w:t>
      </w:r>
    </w:p>
    <w:p w14:paraId="1EFB7E08" w14:textId="77777777" w:rsidR="00FF0080" w:rsidRDefault="00000000" w:rsidP="00765C12">
      <w:pPr>
        <w:pStyle w:val="ListBullet"/>
        <w:numPr>
          <w:ilvl w:val="0"/>
          <w:numId w:val="10"/>
        </w:numPr>
      </w:pPr>
      <w:r>
        <w:t>Communication Services: heavy (avg -3.70%)</w:t>
      </w:r>
    </w:p>
    <w:p w14:paraId="311EBC31" w14:textId="77777777" w:rsidR="00FF0080" w:rsidRDefault="00000000" w:rsidP="00765C12">
      <w:pPr>
        <w:pStyle w:val="ListBullet"/>
        <w:numPr>
          <w:ilvl w:val="0"/>
          <w:numId w:val="10"/>
        </w:numPr>
      </w:pPr>
      <w:r>
        <w:t>Energy Complex: heavy (avg -5.00%)</w:t>
      </w:r>
    </w:p>
    <w:p w14:paraId="775586BF" w14:textId="77777777" w:rsidR="00FF0080" w:rsidRDefault="00000000">
      <w:r>
        <w:t>Macro levers (QTD % returns):</w:t>
      </w:r>
    </w:p>
    <w:p w14:paraId="271F444D" w14:textId="77777777" w:rsidR="00FF0080" w:rsidRDefault="00000000" w:rsidP="00765C12">
      <w:pPr>
        <w:pStyle w:val="ListBullet"/>
        <w:numPr>
          <w:ilvl w:val="0"/>
          <w:numId w:val="11"/>
        </w:numPr>
      </w:pPr>
      <w:r>
        <w:t>Gold: bid (avg +15.88%)</w:t>
      </w:r>
    </w:p>
    <w:p w14:paraId="758C1290" w14:textId="77777777" w:rsidR="00FF0080" w:rsidRDefault="00000000" w:rsidP="00765C12">
      <w:pPr>
        <w:pStyle w:val="ListBullet"/>
        <w:numPr>
          <w:ilvl w:val="0"/>
          <w:numId w:val="11"/>
        </w:numPr>
      </w:pPr>
      <w:r>
        <w:t>USD: falling (avg -2.04%)</w:t>
      </w:r>
    </w:p>
    <w:p w14:paraId="19B1214A" w14:textId="77777777" w:rsidR="00FF0080" w:rsidRDefault="00000000" w:rsidP="00765C12">
      <w:pPr>
        <w:pStyle w:val="ListBullet"/>
        <w:numPr>
          <w:ilvl w:val="0"/>
          <w:numId w:val="11"/>
        </w:numPr>
      </w:pPr>
      <w:r>
        <w:t>Yields: flat (avg +0.23%)</w:t>
      </w:r>
    </w:p>
    <w:p w14:paraId="3B56DAD7" w14:textId="77777777" w:rsidR="00FF0080" w:rsidRDefault="00000000" w:rsidP="00765C12">
      <w:pPr>
        <w:pStyle w:val="ListBullet"/>
        <w:numPr>
          <w:ilvl w:val="0"/>
          <w:numId w:val="11"/>
        </w:numPr>
      </w:pPr>
      <w:r>
        <w:t>Bonds: falling (avg -1.10%)</w:t>
      </w:r>
    </w:p>
    <w:p w14:paraId="0E164479" w14:textId="77777777" w:rsidR="00FF0080" w:rsidRDefault="00000000" w:rsidP="00765C12">
      <w:pPr>
        <w:pStyle w:val="ListBullet"/>
        <w:numPr>
          <w:ilvl w:val="0"/>
          <w:numId w:val="11"/>
        </w:numPr>
      </w:pPr>
      <w:r>
        <w:t>Energy Complex (sector-level): falling (avg -5.00%)</w:t>
      </w:r>
    </w:p>
    <w:p w14:paraId="44F4751E" w14:textId="77777777" w:rsidR="00FF0080" w:rsidRDefault="00000000">
      <w:r>
        <w:t>Bottom line: With just over half the tape positive QTD, breadth is constructive but not euphoric, and leadership is concentrated in Health Care, Technology, and Materials, while Financials and Industrials grind higher and the more defensive Staples and Discretionary cohorts hold flat-to-firm; on the other side, Utilities, Energy, Real Estate, and Communication Services are under pressure, consistent with a tape that is rewarding quality growth and balance-sheet strength while fading rate-sensitive and cyclically exposed pockets alongside a heavy Energy Complex. Macro conditions reflect slowing growth and still-sticky inflation expectations, and the combination of a weaker USD, a strong bid for Gold, flat nominal yields, and soft bonds and energy prices underscores a market increasingly pricing in late-cycle dynamics and real-yield anxiety rather than a clean, disinflationary re-acceleration, which aligns with the sector and factor leadership we’ve seen quarter-to-date.</w:t>
      </w:r>
    </w:p>
    <w:sectPr w:rsidR="00FF00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D6299F"/>
    <w:multiLevelType w:val="hybridMultilevel"/>
    <w:tmpl w:val="084CB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ED371D"/>
    <w:multiLevelType w:val="hybridMultilevel"/>
    <w:tmpl w:val="152ED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0117316">
    <w:abstractNumId w:val="8"/>
  </w:num>
  <w:num w:numId="2" w16cid:durableId="808519358">
    <w:abstractNumId w:val="6"/>
  </w:num>
  <w:num w:numId="3" w16cid:durableId="992030845">
    <w:abstractNumId w:val="5"/>
  </w:num>
  <w:num w:numId="4" w16cid:durableId="1854028707">
    <w:abstractNumId w:val="4"/>
  </w:num>
  <w:num w:numId="5" w16cid:durableId="1507134335">
    <w:abstractNumId w:val="7"/>
  </w:num>
  <w:num w:numId="6" w16cid:durableId="1021593284">
    <w:abstractNumId w:val="3"/>
  </w:num>
  <w:num w:numId="7" w16cid:durableId="272784593">
    <w:abstractNumId w:val="2"/>
  </w:num>
  <w:num w:numId="8" w16cid:durableId="752318554">
    <w:abstractNumId w:val="1"/>
  </w:num>
  <w:num w:numId="9" w16cid:durableId="475488072">
    <w:abstractNumId w:val="0"/>
  </w:num>
  <w:num w:numId="10" w16cid:durableId="114101298">
    <w:abstractNumId w:val="10"/>
  </w:num>
  <w:num w:numId="11" w16cid:durableId="12278385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1487C"/>
    <w:rsid w:val="00765C12"/>
    <w:rsid w:val="00AA1D8D"/>
    <w:rsid w:val="00B47730"/>
    <w:rsid w:val="00CB0664"/>
    <w:rsid w:val="00FC693F"/>
    <w:rsid w:val="00FF00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854BC7"/>
  <w14:defaultImageDpi w14:val="300"/>
  <w15:docId w15:val="{A6FB8977-1104-44A5-9519-AB6E5948F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257</Words>
  <Characters>1471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2025-12-24T18:15:00Z</dcterms:created>
  <dcterms:modified xsi:type="dcterms:W3CDTF">2025-12-24T18:15:00Z</dcterms:modified>
  <cp:category/>
</cp:coreProperties>
</file>