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CE7320B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AA47D7">
        <w:t>Macro posture shows growth is slowing on a rolling-month basis while inflation eases off the highs but remains above pre-COVID norms, and that mix is echoed in the macro levers with a weaker USD, strong Gold, rising yields, softer bonds, and a pressured energy complex all pointing to an environment where investors are rotating toward higher-beta, rate-resilient risk assets even as underlying growth and earnings expectations grind lower.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1C3B"/>
    <w:rsid w:val="0005522A"/>
    <w:rsid w:val="00067C93"/>
    <w:rsid w:val="00091CF0"/>
    <w:rsid w:val="000B0E41"/>
    <w:rsid w:val="000C488F"/>
    <w:rsid w:val="000E4AA2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B54D1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40546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95DF1"/>
    <w:rsid w:val="007A7BD1"/>
    <w:rsid w:val="007C7954"/>
    <w:rsid w:val="007D719F"/>
    <w:rsid w:val="007F3A4E"/>
    <w:rsid w:val="008255FE"/>
    <w:rsid w:val="00851B53"/>
    <w:rsid w:val="0085660D"/>
    <w:rsid w:val="008B5BDD"/>
    <w:rsid w:val="008B60BF"/>
    <w:rsid w:val="008D1A32"/>
    <w:rsid w:val="008E498B"/>
    <w:rsid w:val="00904897"/>
    <w:rsid w:val="00917862"/>
    <w:rsid w:val="0093789C"/>
    <w:rsid w:val="009C3B97"/>
    <w:rsid w:val="009C3E4A"/>
    <w:rsid w:val="009C43A2"/>
    <w:rsid w:val="00A01661"/>
    <w:rsid w:val="00A03401"/>
    <w:rsid w:val="00A1108A"/>
    <w:rsid w:val="00A24416"/>
    <w:rsid w:val="00A25709"/>
    <w:rsid w:val="00A66203"/>
    <w:rsid w:val="00AA2E66"/>
    <w:rsid w:val="00AA47D7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70F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6D69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30373"/>
    <w:rsid w:val="00F50A72"/>
    <w:rsid w:val="00FF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63</Words>
  <Characters>391</Characters>
  <Application>Microsoft Office Word</Application>
  <DocSecurity>0</DocSecurity>
  <Lines>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2025-10-18T00:26:00Z</dcterms:created>
  <dcterms:modified xsi:type="dcterms:W3CDTF">2025-12-24T18:14:00Z</dcterms:modified>
</cp:coreProperties>
</file>