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equities and sector indexes show only mild day‑to‑day linkage to moves in the 10-year yield, with the S&amp;P 500 and Nasdaq 100 slightly tending to slip when yields rise and the Russell 2000 and Financials sitting near zero sensitivity. Utilities remain the most rate‑aware equity sector, but even there the correlation has eased to a modest negative reading compared with the stronger tilt seen over 15 and 90 days. Overall, rate sensitivity across these equity benchmarks is dispersed and relatively contained rather than concentrated in a single index.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