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moves have been most closely tied to broad commodities and gold, with both tending to fall when the dollar rises, and that influence is concentrated rather than broad-based across the complex. Oil shows a similar but slightly weaker inverse pattern, while the S&amp;P 500 and Bitcoin have stayed largely insulated from day-to-day dollar fluctuations. The shorter 15-day window shows an even stronger negative link for commodities and gold, while the 90-day view suggests that this tight alignment has only emerged more recently.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