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the S&amp;P 500 and Nasdaq 100 show the clearest equity sensitivity to 10-year yields, with moderately negative correlations that suggest higher rates have recently lined up with weaker large-cap and growth-heavy benchmarks. In contrast, the Russell 2000, Financials, and Utilities sit in a contained range versus rates on this 30-day window, implying that equity-rate linkage is not broad-based but more concentrated in the major large-cap indices. The 15-day window shows even more negative correlations for SPX and NDX, hinting at an intensification of this relationship in the very near term, while the 90-day readings hovering near zero for most indices underscore how transient this latest bout of rate sensitivity has been so far.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