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basis, USD sensitivity is concentrated in gold, where returns have been moderately moving in the opposite direction of the dollar, and that inverse linkage has been consistent over 15- and 90-day windows. Equities, oil, and broad commodities all show only mild and somewhat mixed USD relationships, indicating contained currency influence on their recent moves. Bitcoin has a modest positive 30-day linkage to the dollar, slightly stronger over 15 days but still far from a dominant driver.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