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0BE79" w14:textId="77777777" w:rsidR="00B26DC2" w:rsidRPr="00B26DC2" w:rsidRDefault="00B26DC2" w:rsidP="00B26DC2">
      <w:pPr>
        <w:rPr>
          <w:b/>
          <w:bCs/>
        </w:rPr>
      </w:pPr>
      <w:r w:rsidRPr="00B26DC2">
        <w:rPr>
          <w:b/>
          <w:bCs/>
        </w:rPr>
        <w:t>Monthly Market Read: October 29, 2025</w:t>
      </w:r>
    </w:p>
    <w:p w14:paraId="3B37EAA5" w14:textId="77777777" w:rsidR="00B26DC2" w:rsidRPr="00B26DC2" w:rsidRDefault="00B26DC2" w:rsidP="00B26DC2">
      <w:pPr>
        <w:rPr>
          <w:b/>
          <w:bCs/>
        </w:rPr>
      </w:pPr>
      <w:r w:rsidRPr="00B26DC2">
        <w:rPr>
          <w:b/>
          <w:bCs/>
        </w:rPr>
        <w:t>The market is saying (all numbers are MTD % returns):</w:t>
      </w:r>
    </w:p>
    <w:p w14:paraId="6B3188BE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Breadth: 43.8% of names are positive.</w:t>
      </w:r>
    </w:p>
    <w:p w14:paraId="6657C1D4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Information Technology: leading (avg +4.11%).</w:t>
      </w:r>
    </w:p>
    <w:p w14:paraId="4FB3D5EE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Industrials: soft (avg -0.66%).</w:t>
      </w:r>
    </w:p>
    <w:p w14:paraId="4122E53A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Consumer Staples: weak (avg -2.38%).</w:t>
      </w:r>
    </w:p>
    <w:p w14:paraId="72C0ACC5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Consumer Discretionary: lagging (avg -2.85%).</w:t>
      </w:r>
    </w:p>
    <w:p w14:paraId="64B10570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Financials: under pressure (avg -4.62%).</w:t>
      </w:r>
    </w:p>
    <w:p w14:paraId="762A8DE6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Utilities: firm (avg +1.67%).</w:t>
      </w:r>
    </w:p>
    <w:p w14:paraId="5992A631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Real Estate: lagging (avg -5.59%).</w:t>
      </w:r>
    </w:p>
    <w:p w14:paraId="69FE8688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Materials: soft (avg -1.07%).</w:t>
      </w:r>
    </w:p>
    <w:p w14:paraId="647BFC5A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Energy: lagging (avg -3.01%).</w:t>
      </w:r>
    </w:p>
    <w:p w14:paraId="038CE696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Health Care: strong (avg +3.39%).</w:t>
      </w:r>
    </w:p>
    <w:p w14:paraId="4F76AC75" w14:textId="77777777" w:rsidR="00B26DC2" w:rsidRPr="00B26DC2" w:rsidRDefault="00B26DC2" w:rsidP="00B26DC2">
      <w:pPr>
        <w:numPr>
          <w:ilvl w:val="0"/>
          <w:numId w:val="11"/>
        </w:numPr>
        <w:rPr>
          <w:b/>
          <w:bCs/>
        </w:rPr>
      </w:pPr>
      <w:r w:rsidRPr="00B26DC2">
        <w:rPr>
          <w:b/>
          <w:bCs/>
        </w:rPr>
        <w:t>Communication Services: lagging (avg -5.81%).</w:t>
      </w:r>
    </w:p>
    <w:p w14:paraId="16C2E58A" w14:textId="77777777" w:rsidR="00B26DC2" w:rsidRPr="00B26DC2" w:rsidRDefault="00B26DC2" w:rsidP="00B26DC2">
      <w:pPr>
        <w:rPr>
          <w:b/>
          <w:bCs/>
        </w:rPr>
      </w:pPr>
      <w:r w:rsidRPr="00B26DC2">
        <w:rPr>
          <w:b/>
          <w:bCs/>
        </w:rPr>
        <w:t>Macro levers (MTD % returns):</w:t>
      </w:r>
    </w:p>
    <w:p w14:paraId="4DEC9B3A" w14:textId="77777777" w:rsidR="00B26DC2" w:rsidRPr="00B26DC2" w:rsidRDefault="00B26DC2" w:rsidP="00B26DC2">
      <w:pPr>
        <w:numPr>
          <w:ilvl w:val="0"/>
          <w:numId w:val="12"/>
        </w:numPr>
        <w:rPr>
          <w:b/>
          <w:bCs/>
        </w:rPr>
      </w:pPr>
      <w:r w:rsidRPr="00B26DC2">
        <w:rPr>
          <w:b/>
          <w:bCs/>
        </w:rPr>
        <w:t>Gold: bid (+2.12%).</w:t>
      </w:r>
    </w:p>
    <w:p w14:paraId="090BCD7A" w14:textId="77777777" w:rsidR="00B26DC2" w:rsidRPr="00B26DC2" w:rsidRDefault="00B26DC2" w:rsidP="00B26DC2">
      <w:pPr>
        <w:numPr>
          <w:ilvl w:val="0"/>
          <w:numId w:val="12"/>
        </w:numPr>
        <w:rPr>
          <w:b/>
          <w:bCs/>
        </w:rPr>
      </w:pPr>
      <w:r w:rsidRPr="00B26DC2">
        <w:rPr>
          <w:b/>
          <w:bCs/>
        </w:rPr>
        <w:t>USD: firm (+1.85%).</w:t>
      </w:r>
    </w:p>
    <w:p w14:paraId="24D666C9" w14:textId="77777777" w:rsidR="00B26DC2" w:rsidRPr="00B26DC2" w:rsidRDefault="00B26DC2" w:rsidP="00B26DC2">
      <w:pPr>
        <w:numPr>
          <w:ilvl w:val="0"/>
          <w:numId w:val="12"/>
        </w:numPr>
        <w:rPr>
          <w:b/>
          <w:bCs/>
        </w:rPr>
      </w:pPr>
      <w:r w:rsidRPr="00B26DC2">
        <w:rPr>
          <w:b/>
          <w:bCs/>
        </w:rPr>
        <w:t>Yields: falling (-2.00%).</w:t>
      </w:r>
    </w:p>
    <w:p w14:paraId="5031FFF7" w14:textId="77777777" w:rsidR="00B26DC2" w:rsidRPr="00B26DC2" w:rsidRDefault="00B26DC2" w:rsidP="00B26DC2">
      <w:pPr>
        <w:numPr>
          <w:ilvl w:val="0"/>
          <w:numId w:val="12"/>
        </w:numPr>
        <w:rPr>
          <w:b/>
          <w:bCs/>
        </w:rPr>
      </w:pPr>
      <w:r w:rsidRPr="00B26DC2">
        <w:rPr>
          <w:b/>
          <w:bCs/>
        </w:rPr>
        <w:t>Bonds: steady (+0.66%).</w:t>
      </w:r>
    </w:p>
    <w:p w14:paraId="2935837E" w14:textId="77777777" w:rsidR="00B26DC2" w:rsidRPr="00B26DC2" w:rsidRDefault="00B26DC2" w:rsidP="00B26DC2">
      <w:pPr>
        <w:numPr>
          <w:ilvl w:val="0"/>
          <w:numId w:val="12"/>
        </w:numPr>
        <w:rPr>
          <w:b/>
          <w:bCs/>
        </w:rPr>
      </w:pPr>
      <w:r w:rsidRPr="00B26DC2">
        <w:rPr>
          <w:b/>
          <w:bCs/>
        </w:rPr>
        <w:lastRenderedPageBreak/>
        <w:t>Energy complex: weak (-4.61%).</w:t>
      </w:r>
    </w:p>
    <w:p w14:paraId="05024DAC" w14:textId="77777777" w:rsidR="00B26DC2" w:rsidRPr="00B26DC2" w:rsidRDefault="00B26DC2" w:rsidP="00B26DC2">
      <w:pPr>
        <w:rPr>
          <w:b/>
          <w:bCs/>
        </w:rPr>
      </w:pPr>
      <w:r w:rsidRPr="00B26DC2">
        <w:rPr>
          <w:b/>
          <w:bCs/>
        </w:rPr>
        <w:t xml:space="preserve">Bottom line: Market breadth narrowed, with fewer than half of names positive. Leadership remains concentrated in Technology and Health Care, while Financials, Real Estate, and Communication Services extend losses. </w:t>
      </w:r>
      <w:bookmarkStart w:id="0" w:name="_Hlk212661838"/>
      <w:r w:rsidRPr="00B26DC2">
        <w:rPr>
          <w:b/>
          <w:bCs/>
        </w:rPr>
        <w:t>The macro tone — gold bid, USD firm, yields falling, bonds steady, and a weak energy complex — reflects a risk-off, disinflationary backdrop consistent with slowing growth and cooling inflation pressures. The market continues to favor defensives, duration, and large-cap quality over cyclical or leverage-driven exposures.</w:t>
      </w:r>
    </w:p>
    <w:bookmarkEnd w:id="0"/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9"/>
  </w:num>
  <w:num w:numId="2" w16cid:durableId="1522012968">
    <w:abstractNumId w:val="10"/>
  </w:num>
  <w:num w:numId="3" w16cid:durableId="467479977">
    <w:abstractNumId w:val="3"/>
  </w:num>
  <w:num w:numId="4" w16cid:durableId="556473470">
    <w:abstractNumId w:val="8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4"/>
  </w:num>
  <w:num w:numId="8" w16cid:durableId="1120878745">
    <w:abstractNumId w:val="7"/>
  </w:num>
  <w:num w:numId="9" w16cid:durableId="1149397064">
    <w:abstractNumId w:val="2"/>
  </w:num>
  <w:num w:numId="10" w16cid:durableId="1752506734">
    <w:abstractNumId w:val="6"/>
  </w:num>
  <w:num w:numId="11" w16cid:durableId="458572310">
    <w:abstractNumId w:val="5"/>
  </w:num>
  <w:num w:numId="12" w16cid:durableId="155416387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477"/>
    <w:rsid w:val="00232F15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8055E7"/>
    <w:rsid w:val="00851B53"/>
    <w:rsid w:val="008B60BF"/>
    <w:rsid w:val="00917862"/>
    <w:rsid w:val="00941E95"/>
    <w:rsid w:val="00944216"/>
    <w:rsid w:val="009816F8"/>
    <w:rsid w:val="009B3277"/>
    <w:rsid w:val="009C43A2"/>
    <w:rsid w:val="009D0AE6"/>
    <w:rsid w:val="00A25600"/>
    <w:rsid w:val="00A2793D"/>
    <w:rsid w:val="00A3245F"/>
    <w:rsid w:val="00A65F15"/>
    <w:rsid w:val="00A66203"/>
    <w:rsid w:val="00AB2738"/>
    <w:rsid w:val="00AE05E9"/>
    <w:rsid w:val="00AF286D"/>
    <w:rsid w:val="00B17117"/>
    <w:rsid w:val="00B26DC2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165</Words>
  <Characters>1061</Characters>
  <Application>Microsoft Office Word</Application>
  <DocSecurity>0</DocSecurity>
  <Lines>25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45</cp:revision>
  <dcterms:created xsi:type="dcterms:W3CDTF">2025-09-06T22:48:00Z</dcterms:created>
  <dcterms:modified xsi:type="dcterms:W3CDTF">2025-10-30T00:23:00Z</dcterms:modified>
</cp:coreProperties>
</file>