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37489" w14:textId="77777777" w:rsidR="00BE54F7" w:rsidRPr="007B28A5" w:rsidRDefault="00547C0F" w:rsidP="00BE54F7">
      <w:r w:rsidRPr="00C73559">
        <w:rPr>
          <w:b/>
          <w:bCs/>
        </w:rPr>
        <w:t>Bottom line:</w:t>
      </w:r>
      <w:r w:rsidRPr="00C73559">
        <w:t xml:space="preserve"> </w:t>
      </w:r>
      <w:r w:rsidR="00BE54F7" w:rsidRPr="007B28A5">
        <w:t xml:space="preserve">Rising yields and a firmer dollar, coupled with weaker gold and bonds, signal </w:t>
      </w:r>
      <w:r w:rsidR="00BE54F7" w:rsidRPr="007B28A5">
        <w:rPr>
          <w:b/>
          <w:bCs/>
        </w:rPr>
        <w:t>tightening liquidity and lingering inflation pressures</w:t>
      </w:r>
      <w:r w:rsidR="00BE54F7" w:rsidRPr="007B28A5">
        <w:t xml:space="preserve">. The pattern aligns with </w:t>
      </w:r>
      <w:r w:rsidR="00BE54F7" w:rsidRPr="007B28A5">
        <w:rPr>
          <w:b/>
          <w:bCs/>
        </w:rPr>
        <w:t>slowing growth</w:t>
      </w:r>
      <w:r w:rsidR="00BE54F7" w:rsidRPr="007B28A5">
        <w:t xml:space="preserve"> and a </w:t>
      </w:r>
      <w:r w:rsidR="00BE54F7" w:rsidRPr="007B28A5">
        <w:rPr>
          <w:b/>
          <w:bCs/>
        </w:rPr>
        <w:t>defensive market tone</w:t>
      </w:r>
      <w:r w:rsidR="00BE54F7" w:rsidRPr="007B28A5">
        <w:t>, where investors continue to favor cash flow stability and short-duration exposures over cyclical risk.</w:t>
      </w:r>
    </w:p>
    <w:p w14:paraId="5A40CDC3" w14:textId="0A4A5702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4F7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276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18</cp:revision>
  <dcterms:created xsi:type="dcterms:W3CDTF">2025-10-14T15:51:00Z</dcterms:created>
  <dcterms:modified xsi:type="dcterms:W3CDTF">2025-10-30T00:21:00Z</dcterms:modified>
</cp:coreProperties>
</file>