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CD39" w14:textId="77777777" w:rsidR="00715FC7" w:rsidRPr="00B26DC2" w:rsidRDefault="00547C0F" w:rsidP="00715FC7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715FC7" w:rsidRPr="00B26DC2">
        <w:rPr>
          <w:b/>
          <w:bCs/>
        </w:rPr>
        <w:t>The macro tone — gold bid, USD firm, yields falling, bonds steady, and a weak energy complex — reflects a risk-off, disinflationary backdrop consistent with slowing growth and cooling inflation pressures. The market continues to favor defensives, duration, and large-cap quality over cyclical or leverage-driven exposures.</w:t>
      </w:r>
    </w:p>
    <w:p w14:paraId="5A40CDC3" w14:textId="29C2C8F1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66203"/>
    <w:rsid w:val="00AE05E9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FC7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292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12</cp:revision>
  <dcterms:created xsi:type="dcterms:W3CDTF">2025-10-18T00:26:00Z</dcterms:created>
  <dcterms:modified xsi:type="dcterms:W3CDTF">2025-10-30T00:23:00Z</dcterms:modified>
</cp:coreProperties>
</file>