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776182B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D8414F">
        <w:t>With higher yields leading, bonds and gold offered, and the energy complex sharply lower despite a flat USD, the tape is discounting tighter financial conditions into an environment where macro posture shows growth is decelerating from previously strong levels while still-elevated but easing inflation supports a regime of higher-for-longer real rates, reinforcing today’s risk-off tone and multiple compression across the equity complex.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5075B"/>
    <w:rsid w:val="00363F60"/>
    <w:rsid w:val="003643FB"/>
    <w:rsid w:val="00387EB0"/>
    <w:rsid w:val="003C4A04"/>
    <w:rsid w:val="004030F3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B53"/>
    <w:rsid w:val="0085660D"/>
    <w:rsid w:val="008B60BF"/>
    <w:rsid w:val="008C4C41"/>
    <w:rsid w:val="008F4CF4"/>
    <w:rsid w:val="00917862"/>
    <w:rsid w:val="0093772A"/>
    <w:rsid w:val="009A1F35"/>
    <w:rsid w:val="009C43A2"/>
    <w:rsid w:val="009E41CF"/>
    <w:rsid w:val="00A01661"/>
    <w:rsid w:val="00A1108A"/>
    <w:rsid w:val="00A16CDD"/>
    <w:rsid w:val="00A215B7"/>
    <w:rsid w:val="00A51EF3"/>
    <w:rsid w:val="00A64BAA"/>
    <w:rsid w:val="00A66203"/>
    <w:rsid w:val="00AA2725"/>
    <w:rsid w:val="00AE23FF"/>
    <w:rsid w:val="00AF286D"/>
    <w:rsid w:val="00AF716B"/>
    <w:rsid w:val="00B2440B"/>
    <w:rsid w:val="00B25B06"/>
    <w:rsid w:val="00B26426"/>
    <w:rsid w:val="00BA3171"/>
    <w:rsid w:val="00BC5D14"/>
    <w:rsid w:val="00BE54F7"/>
    <w:rsid w:val="00C34B33"/>
    <w:rsid w:val="00C61AC6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64</Words>
  <Characters>389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53</cp:revision>
  <dcterms:created xsi:type="dcterms:W3CDTF">2025-10-14T15:51:00Z</dcterms:created>
  <dcterms:modified xsi:type="dcterms:W3CDTF">2026-01-01T01:04:00Z</dcterms:modified>
</cp:coreProperties>
</file>