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past 30 days, equities generally moved opposite 10-year yields, with the Russell 2000 showing the strongest negative equity linkage and the S&amp;P and Nasdaq somewhat less rate-sensitive. Financials are also negatively tied to yields on this window, suggesting they have not been acting as a clear beneficiary of higher rates. Utilities stand out with a concentrated and consistently strong negative correlation across 15D, 30D, and 90D, underscoring their bond-like sensitivity to moves in yields.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