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On a 30-day view, USD sensitivity is fairly concentrated in gold and oil, where a stronger dollar has lately lined up with weaker prices, especially for GLD. Equities and broad commodities show only a mild inverse linkage, while Bitcoin and the diversified commodity basket are largely insulated from day-to-day dollar moves. Recent 15-day readings lean slightly more negative across most assets, but the longer 90-day window points to generally modest and fading USD influence outside of gold.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