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FC068" w14:textId="77777777" w:rsidR="00AD4779" w:rsidRDefault="00000000">
      <w:r>
        <w:t>Market Read: December 18, 2025</w:t>
      </w:r>
    </w:p>
    <w:p w14:paraId="29AAC2C8" w14:textId="77777777" w:rsidR="00AD4779" w:rsidRDefault="00000000">
      <w:r>
        <w:t>The market is saying:</w:t>
      </w:r>
    </w:p>
    <w:p w14:paraId="16FF3C77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Breadth: 54.9% of names are positive.</w:t>
      </w:r>
    </w:p>
    <w:p w14:paraId="58BF517C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Information Technology: flat (avg -0.05%)</w:t>
      </w:r>
    </w:p>
    <w:p w14:paraId="3EA5DAFD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Industrials: firm (avg +0.40%)</w:t>
      </w:r>
    </w:p>
    <w:p w14:paraId="7BCEE6AF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Consumer Staples: lagging (avg -0.51%)</w:t>
      </w:r>
    </w:p>
    <w:p w14:paraId="4B74D26A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Consumer Discretionary: firm (avg +0.43%)</w:t>
      </w:r>
    </w:p>
    <w:p w14:paraId="5BB91CAD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Financials: soft (avg -0.22%)</w:t>
      </w:r>
    </w:p>
    <w:p w14:paraId="678DEF76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Utilities: leading (avg +0.81%)</w:t>
      </w:r>
    </w:p>
    <w:p w14:paraId="4B28812C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Real Estate: soft (avg -0.38%)</w:t>
      </w:r>
    </w:p>
    <w:p w14:paraId="6BF03FC3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Materials: flat (avg +0.11%)</w:t>
      </w:r>
    </w:p>
    <w:p w14:paraId="7ACB0051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Energy: lagging (avg -1.78%)</w:t>
      </w:r>
    </w:p>
    <w:p w14:paraId="58D81398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Health Care: flat (avg -0.05%)</w:t>
      </w:r>
    </w:p>
    <w:p w14:paraId="747484E8" w14:textId="77777777" w:rsidR="00AD4779" w:rsidRDefault="00000000" w:rsidP="005965B0">
      <w:pPr>
        <w:pStyle w:val="ListParagraph"/>
        <w:numPr>
          <w:ilvl w:val="0"/>
          <w:numId w:val="3"/>
        </w:numPr>
      </w:pPr>
      <w:r>
        <w:t>Communication Services: firm (avg +0.44%)</w:t>
      </w:r>
    </w:p>
    <w:p w14:paraId="046A143F" w14:textId="77777777" w:rsidR="00AD4779" w:rsidRDefault="00000000">
      <w:r>
        <w:t>Macro levers:</w:t>
      </w:r>
    </w:p>
    <w:p w14:paraId="74977360" w14:textId="77777777" w:rsidR="00AD4779" w:rsidRDefault="00000000" w:rsidP="005965B0">
      <w:pPr>
        <w:pStyle w:val="ListParagraph"/>
        <w:numPr>
          <w:ilvl w:val="0"/>
          <w:numId w:val="4"/>
        </w:numPr>
      </w:pPr>
      <w:r>
        <w:t>Gold: flat (avg -0.18%)</w:t>
      </w:r>
    </w:p>
    <w:p w14:paraId="71321672" w14:textId="77777777" w:rsidR="00AD4779" w:rsidRDefault="00000000" w:rsidP="005965B0">
      <w:pPr>
        <w:pStyle w:val="ListParagraph"/>
        <w:numPr>
          <w:ilvl w:val="0"/>
          <w:numId w:val="4"/>
        </w:numPr>
      </w:pPr>
      <w:r>
        <w:t>USD: firm (avg +0.07%)</w:t>
      </w:r>
    </w:p>
    <w:p w14:paraId="2993F4E6" w14:textId="77777777" w:rsidR="00AD4779" w:rsidRDefault="00000000" w:rsidP="005965B0">
      <w:pPr>
        <w:pStyle w:val="ListParagraph"/>
        <w:numPr>
          <w:ilvl w:val="0"/>
          <w:numId w:val="4"/>
        </w:numPr>
      </w:pPr>
      <w:r>
        <w:t>Yields: lagging (avg -0.80%)</w:t>
      </w:r>
    </w:p>
    <w:p w14:paraId="2C26DB2C" w14:textId="77777777" w:rsidR="00AD4779" w:rsidRDefault="00000000" w:rsidP="005965B0">
      <w:pPr>
        <w:pStyle w:val="ListParagraph"/>
        <w:numPr>
          <w:ilvl w:val="0"/>
          <w:numId w:val="4"/>
        </w:numPr>
      </w:pPr>
      <w:r>
        <w:t>Bonds: firm (avg +0.14%)</w:t>
      </w:r>
    </w:p>
    <w:p w14:paraId="69B2E2A0" w14:textId="77777777" w:rsidR="00AD4779" w:rsidRDefault="00000000" w:rsidP="005965B0">
      <w:pPr>
        <w:pStyle w:val="ListParagraph"/>
        <w:numPr>
          <w:ilvl w:val="0"/>
          <w:numId w:val="4"/>
        </w:numPr>
      </w:pPr>
      <w:r>
        <w:t>Energy complex: lagging (avg -3.00%)</w:t>
      </w:r>
    </w:p>
    <w:p w14:paraId="1E90479B" w14:textId="77777777" w:rsidR="00AD4779" w:rsidRDefault="00000000">
      <w:r>
        <w:t>Bottom line: Breadth is mildly positive with just over half of names higher, and the factor mix is classic late-cycle defensiveness as Utilities lead, Industrials and Consumer Discretionary are firm, while Staples, Energy, Financials, and Real Estate lag and Tech/Health Care trade essentially flat. Macro posture shows growth is slowing from elevated levels while still-elevated but easing inflation keeps the environment biased toward lower yields and firmer bonds alongside a steady dollar and soft energy complex, and today’s tape is respecting that setup with defensive leadership, rate-sensitives finding support, and cyclicals bifurcating rather than broadly breaking out.</w:t>
      </w:r>
    </w:p>
    <w:sectPr w:rsidR="00AD47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226C"/>
    <w:multiLevelType w:val="hybridMultilevel"/>
    <w:tmpl w:val="68889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9E382F"/>
    <w:multiLevelType w:val="hybridMultilevel"/>
    <w:tmpl w:val="53427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D56145"/>
    <w:multiLevelType w:val="hybridMultilevel"/>
    <w:tmpl w:val="CA5E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E607B"/>
    <w:multiLevelType w:val="hybridMultilevel"/>
    <w:tmpl w:val="3E383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686881">
    <w:abstractNumId w:val="2"/>
  </w:num>
  <w:num w:numId="2" w16cid:durableId="950238167">
    <w:abstractNumId w:val="1"/>
  </w:num>
  <w:num w:numId="3" w16cid:durableId="478546117">
    <w:abstractNumId w:val="0"/>
  </w:num>
  <w:num w:numId="4" w16cid:durableId="2946758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F22"/>
    <w:rsid w:val="00136E36"/>
    <w:rsid w:val="00225477"/>
    <w:rsid w:val="00285C57"/>
    <w:rsid w:val="0048449B"/>
    <w:rsid w:val="004927A7"/>
    <w:rsid w:val="005965B0"/>
    <w:rsid w:val="00727DD5"/>
    <w:rsid w:val="00903F22"/>
    <w:rsid w:val="0093772A"/>
    <w:rsid w:val="00AD4779"/>
    <w:rsid w:val="00CB0D7D"/>
    <w:rsid w:val="00CB566F"/>
    <w:rsid w:val="00E3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E0E9B"/>
  <w15:chartTrackingRefBased/>
  <w15:docId w15:val="{0484CE6F-B03F-4732-BA44-48EDFE773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7A7"/>
  </w:style>
  <w:style w:type="paragraph" w:styleId="Heading1">
    <w:name w:val="heading 1"/>
    <w:basedOn w:val="Normal"/>
    <w:next w:val="Normal"/>
    <w:link w:val="Heading1Char"/>
    <w:uiPriority w:val="9"/>
    <w:qFormat/>
    <w:rsid w:val="00903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3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3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F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F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F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F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F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F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F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F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F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F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F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1119</Characters>
  <Application>Microsoft Office Word</Application>
  <DocSecurity>0</DocSecurity>
  <Lines>27</Lines>
  <Paragraphs>24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</cp:revision>
  <dcterms:created xsi:type="dcterms:W3CDTF">2025-12-19T01:03:00Z</dcterms:created>
  <dcterms:modified xsi:type="dcterms:W3CDTF">2025-12-19T01:03:00Z</dcterms:modified>
</cp:coreProperties>
</file>