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A11D2" w14:textId="77777777" w:rsidR="00DE6908" w:rsidRDefault="00000000">
      <w:r>
        <w:t>Market Read: December 19, 2025</w:t>
      </w:r>
    </w:p>
    <w:p w14:paraId="2610F41D" w14:textId="77777777" w:rsidR="00DE6908" w:rsidRDefault="00000000">
      <w:r>
        <w:t>The market is saying:</w:t>
      </w:r>
    </w:p>
    <w:p w14:paraId="7371B627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Breadth: 58.9% of names are positive.</w:t>
      </w:r>
    </w:p>
    <w:p w14:paraId="6C65EA28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Information Technology: leading (avg +1.59%)</w:t>
      </w:r>
    </w:p>
    <w:p w14:paraId="1CD4E144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Industrials: leading (avg +0.61%)</w:t>
      </w:r>
    </w:p>
    <w:p w14:paraId="2DD2B45D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Consumer Staples: lagging (avg -1.19%)</w:t>
      </w:r>
    </w:p>
    <w:p w14:paraId="075E1247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Consumer Discretionary: soft (avg -0.18%)</w:t>
      </w:r>
    </w:p>
    <w:p w14:paraId="3EEFF400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Financials: leading (avg +0.52%)</w:t>
      </w:r>
    </w:p>
    <w:p w14:paraId="16708569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Utilities: lagging (avg -1.24%)</w:t>
      </w:r>
    </w:p>
    <w:p w14:paraId="75BAC5B6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Real Estate: lagging (avg -0.54%)</w:t>
      </w:r>
    </w:p>
    <w:p w14:paraId="193FDCA4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Materials: flat (avg +0.19%)</w:t>
      </w:r>
    </w:p>
    <w:p w14:paraId="42004D6E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Energy: firm (avg +0.20%)</w:t>
      </w:r>
    </w:p>
    <w:p w14:paraId="20A7443D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Health Care: leading (avg +0.71%)</w:t>
      </w:r>
    </w:p>
    <w:p w14:paraId="4BF19261" w14:textId="77777777" w:rsidR="00DE6908" w:rsidRDefault="00000000" w:rsidP="00475B5F">
      <w:pPr>
        <w:pStyle w:val="ListBullet"/>
        <w:numPr>
          <w:ilvl w:val="0"/>
          <w:numId w:val="10"/>
        </w:numPr>
      </w:pPr>
      <w:r>
        <w:t>Communication Services: flat (avg +0.05%)</w:t>
      </w:r>
    </w:p>
    <w:p w14:paraId="6CF0C103" w14:textId="77777777" w:rsidR="00DE6908" w:rsidRDefault="00000000">
      <w:r>
        <w:t>Macro levers:</w:t>
      </w:r>
    </w:p>
    <w:p w14:paraId="6B298008" w14:textId="77777777" w:rsidR="00DE6908" w:rsidRDefault="00000000" w:rsidP="00475B5F">
      <w:pPr>
        <w:pStyle w:val="ListBullet"/>
        <w:numPr>
          <w:ilvl w:val="0"/>
          <w:numId w:val="11"/>
        </w:numPr>
      </w:pPr>
      <w:r>
        <w:t>Gold: firm (avg +0.11%)</w:t>
      </w:r>
    </w:p>
    <w:p w14:paraId="32219B22" w14:textId="77777777" w:rsidR="00DE6908" w:rsidRDefault="00000000" w:rsidP="00475B5F">
      <w:pPr>
        <w:pStyle w:val="ListBullet"/>
        <w:numPr>
          <w:ilvl w:val="0"/>
          <w:numId w:val="11"/>
        </w:numPr>
      </w:pPr>
      <w:r>
        <w:t>USD: leading (avg +0.32%)</w:t>
      </w:r>
    </w:p>
    <w:p w14:paraId="4E49344D" w14:textId="77777777" w:rsidR="00DE6908" w:rsidRDefault="00000000" w:rsidP="00475B5F">
      <w:pPr>
        <w:pStyle w:val="ListBullet"/>
        <w:numPr>
          <w:ilvl w:val="0"/>
          <w:numId w:val="11"/>
        </w:numPr>
      </w:pPr>
      <w:r>
        <w:t>Yields: leading (avg +0.78%)</w:t>
      </w:r>
    </w:p>
    <w:p w14:paraId="69685CB7" w14:textId="77777777" w:rsidR="00DE6908" w:rsidRDefault="00000000" w:rsidP="00475B5F">
      <w:pPr>
        <w:pStyle w:val="ListBullet"/>
        <w:numPr>
          <w:ilvl w:val="0"/>
          <w:numId w:val="11"/>
        </w:numPr>
      </w:pPr>
      <w:r>
        <w:t>Bonds: lagging (avg -0.56%)</w:t>
      </w:r>
    </w:p>
    <w:p w14:paraId="63B9C427" w14:textId="77777777" w:rsidR="00DE6908" w:rsidRDefault="00000000" w:rsidP="00475B5F">
      <w:pPr>
        <w:pStyle w:val="ListBullet"/>
        <w:numPr>
          <w:ilvl w:val="0"/>
          <w:numId w:val="11"/>
        </w:numPr>
      </w:pPr>
      <w:r>
        <w:t>Energy complex: leading (avg +1.29%)</w:t>
      </w:r>
    </w:p>
    <w:p w14:paraId="65EC8B3C" w14:textId="77777777" w:rsidR="00DE6908" w:rsidRDefault="00000000">
      <w:r>
        <w:t xml:space="preserve">Bottom line: Breadth is constructive with nearly 60% of stocks higher, and the tape is skewed toward cyclical and growth leadership as Technology, Health Care, Industrials, Financials and a firm Energy sector drive gains while defensives like Staples, Utilities and Real Estate lag, with Consumer Discretionary soft and Communications and Materials essentially flat. </w:t>
      </w:r>
      <w:bookmarkStart w:id="0" w:name="_Hlk217067067"/>
      <w:r>
        <w:t>Macro conditions reflect growth slowing from elevated levels and easing but still elevated inflation pressures, which is echoed by the combination of rising yields, a stronger USD, weak bonds, and a firm gold and energy complex that together point to the market recalibrating toward slower forward earnings momentum but persistent real-rate and commodity underpinnings rather than outright recessionary stress.</w:t>
      </w:r>
      <w:bookmarkEnd w:id="0"/>
    </w:p>
    <w:sectPr w:rsidR="00DE69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2B629FD"/>
    <w:multiLevelType w:val="hybridMultilevel"/>
    <w:tmpl w:val="04BC1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4E58C6"/>
    <w:multiLevelType w:val="hybridMultilevel"/>
    <w:tmpl w:val="D6EA71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007756">
    <w:abstractNumId w:val="8"/>
  </w:num>
  <w:num w:numId="2" w16cid:durableId="1773430409">
    <w:abstractNumId w:val="6"/>
  </w:num>
  <w:num w:numId="3" w16cid:durableId="160050387">
    <w:abstractNumId w:val="5"/>
  </w:num>
  <w:num w:numId="4" w16cid:durableId="251664103">
    <w:abstractNumId w:val="4"/>
  </w:num>
  <w:num w:numId="5" w16cid:durableId="1760369484">
    <w:abstractNumId w:val="7"/>
  </w:num>
  <w:num w:numId="6" w16cid:durableId="1533373602">
    <w:abstractNumId w:val="3"/>
  </w:num>
  <w:num w:numId="7" w16cid:durableId="223150522">
    <w:abstractNumId w:val="2"/>
  </w:num>
  <w:num w:numId="8" w16cid:durableId="830214416">
    <w:abstractNumId w:val="1"/>
  </w:num>
  <w:num w:numId="9" w16cid:durableId="506871195">
    <w:abstractNumId w:val="0"/>
  </w:num>
  <w:num w:numId="10" w16cid:durableId="673922101">
    <w:abstractNumId w:val="10"/>
  </w:num>
  <w:num w:numId="11" w16cid:durableId="20413171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75B5F"/>
    <w:rsid w:val="006643E9"/>
    <w:rsid w:val="007E17AF"/>
    <w:rsid w:val="00AA1D8D"/>
    <w:rsid w:val="00B47730"/>
    <w:rsid w:val="00CB0664"/>
    <w:rsid w:val="00DE6908"/>
    <w:rsid w:val="00E725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BCB704"/>
  <w14:defaultImageDpi w14:val="300"/>
  <w15:docId w15:val="{9FFB7755-8C66-40F1-A4C9-DFCF14F8A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197</Words>
  <Characters>1220</Characters>
  <Application>Microsoft Office Word</Application>
  <DocSecurity>0</DocSecurity>
  <Lines>29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2025-12-20T01:03:00Z</dcterms:created>
  <dcterms:modified xsi:type="dcterms:W3CDTF">2025-12-20T01:04:00Z</dcterms:modified>
  <cp:category/>
</cp:coreProperties>
</file>