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58DAD" w14:textId="77777777" w:rsidR="00E30C36" w:rsidRDefault="00000000">
      <w:r>
        <w:t>Monthly Market Read: December 19, 2025</w:t>
      </w:r>
    </w:p>
    <w:p w14:paraId="0FEAD7A9" w14:textId="77777777" w:rsidR="00E30C36" w:rsidRDefault="00000000">
      <w:r>
        <w:t>The market is saying (all numbers are MTD % returns):</w:t>
      </w:r>
    </w:p>
    <w:p w14:paraId="3F6025B1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Breadth: 48.5% of names are positive.</w:t>
      </w:r>
    </w:p>
    <w:p w14:paraId="6692D316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Information Technology: leading (avg +2.42%)</w:t>
      </w:r>
    </w:p>
    <w:p w14:paraId="29B8E064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Industrials: leading (avg +1.65%)</w:t>
      </w:r>
    </w:p>
    <w:p w14:paraId="3485174C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Consumer Staples: lagging (avg -0.82%)</w:t>
      </w:r>
    </w:p>
    <w:p w14:paraId="70DB9693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Consumer Discretionary: leading (avg +2.59%)</w:t>
      </w:r>
    </w:p>
    <w:p w14:paraId="332C68AF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Financials: leading (avg +3.72%)</w:t>
      </w:r>
    </w:p>
    <w:p w14:paraId="49B8CEFA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Utilities: lagging (avg -5.71%)</w:t>
      </w:r>
    </w:p>
    <w:p w14:paraId="51E918A6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Real Estate: lagging (avg -2.97%)</w:t>
      </w:r>
    </w:p>
    <w:p w14:paraId="76636B3F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Materials: leading (avg +0.78%)</w:t>
      </w:r>
    </w:p>
    <w:p w14:paraId="5F165302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Energy: lagging (avg -3.48%)</w:t>
      </w:r>
    </w:p>
    <w:p w14:paraId="767B6F21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Health Care: lagging (avg -1.35%)</w:t>
      </w:r>
    </w:p>
    <w:p w14:paraId="78634B68" w14:textId="77777777" w:rsidR="00E30C36" w:rsidRDefault="00000000" w:rsidP="00266450">
      <w:pPr>
        <w:pStyle w:val="ListBullet"/>
        <w:numPr>
          <w:ilvl w:val="0"/>
          <w:numId w:val="10"/>
        </w:numPr>
      </w:pPr>
      <w:r>
        <w:t>Communication Services: leading (avg +1.99%)</w:t>
      </w:r>
    </w:p>
    <w:p w14:paraId="7B442216" w14:textId="77777777" w:rsidR="00E30C36" w:rsidRDefault="00000000">
      <w:r>
        <w:t>Macro levers (MTD % returns):</w:t>
      </w:r>
    </w:p>
    <w:p w14:paraId="7FDC9209" w14:textId="77777777" w:rsidR="00E30C36" w:rsidRDefault="00000000" w:rsidP="00266450">
      <w:pPr>
        <w:pStyle w:val="ListBullet"/>
        <w:numPr>
          <w:ilvl w:val="0"/>
          <w:numId w:val="11"/>
        </w:numPr>
      </w:pPr>
      <w:r>
        <w:t>Gold: leading (avg +2.87%)</w:t>
      </w:r>
    </w:p>
    <w:p w14:paraId="4BDB60C6" w14:textId="77777777" w:rsidR="00E30C36" w:rsidRDefault="00000000" w:rsidP="00266450">
      <w:pPr>
        <w:pStyle w:val="ListBullet"/>
        <w:numPr>
          <w:ilvl w:val="0"/>
          <w:numId w:val="11"/>
        </w:numPr>
      </w:pPr>
      <w:r>
        <w:t>USD: soft (avg -0.50%)</w:t>
      </w:r>
    </w:p>
    <w:p w14:paraId="3A1C6F5C" w14:textId="77777777" w:rsidR="00E30C36" w:rsidRDefault="00000000" w:rsidP="00266450">
      <w:pPr>
        <w:pStyle w:val="ListBullet"/>
        <w:numPr>
          <w:ilvl w:val="0"/>
          <w:numId w:val="11"/>
        </w:numPr>
      </w:pPr>
      <w:r>
        <w:t>Yields: leading (avg +3.14%)</w:t>
      </w:r>
    </w:p>
    <w:p w14:paraId="6FE8F7AF" w14:textId="77777777" w:rsidR="00E30C36" w:rsidRDefault="00000000" w:rsidP="00266450">
      <w:pPr>
        <w:pStyle w:val="ListBullet"/>
        <w:numPr>
          <w:ilvl w:val="0"/>
          <w:numId w:val="11"/>
        </w:numPr>
      </w:pPr>
      <w:r>
        <w:t>Bonds: soft (avg -1.74%)</w:t>
      </w:r>
    </w:p>
    <w:p w14:paraId="5772D78E" w14:textId="77777777" w:rsidR="00E30C36" w:rsidRDefault="00000000" w:rsidP="00266450">
      <w:pPr>
        <w:pStyle w:val="ListBullet"/>
        <w:numPr>
          <w:ilvl w:val="0"/>
          <w:numId w:val="11"/>
        </w:numPr>
      </w:pPr>
      <w:r>
        <w:t>Energy complex: soft (avg -10.76%)</w:t>
      </w:r>
    </w:p>
    <w:p w14:paraId="620436A1" w14:textId="77777777" w:rsidR="00E30C36" w:rsidRDefault="00000000">
      <w:r>
        <w:t>Bottom line: Breadth is middling with just under half of constituents positive, but the tape favors higher-beta and cyclically sensitive areas, as Financials, Consumer Discretionary, Tech, Industrials, Materials, and Communication Services all lead while defensives and rate-sensitives like Utilities, Real Estate, Staples, Health Care, and Energy lag, a pattern that leans more toward risk-on equity appetite than outright defense despite notable sector dispersion. Macro conditions reflect a market navigating slowing growth and still-elevated-but-easing inflation, with higher yields and weaker bonds alongside a soft USD, strong gold, and a pressured energy complex signaling tighter real-financial conditions and persistent inflation risk even as the growth and earnings backdrop grinds lower.</w:t>
      </w:r>
    </w:p>
    <w:sectPr w:rsidR="00E30C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CE5EE2"/>
    <w:multiLevelType w:val="hybridMultilevel"/>
    <w:tmpl w:val="A0149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FA3481"/>
    <w:multiLevelType w:val="hybridMultilevel"/>
    <w:tmpl w:val="D646B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165389">
    <w:abstractNumId w:val="8"/>
  </w:num>
  <w:num w:numId="2" w16cid:durableId="1614551530">
    <w:abstractNumId w:val="6"/>
  </w:num>
  <w:num w:numId="3" w16cid:durableId="803622513">
    <w:abstractNumId w:val="5"/>
  </w:num>
  <w:num w:numId="4" w16cid:durableId="516043102">
    <w:abstractNumId w:val="4"/>
  </w:num>
  <w:num w:numId="5" w16cid:durableId="656764131">
    <w:abstractNumId w:val="7"/>
  </w:num>
  <w:num w:numId="6" w16cid:durableId="792557414">
    <w:abstractNumId w:val="3"/>
  </w:num>
  <w:num w:numId="7" w16cid:durableId="46074657">
    <w:abstractNumId w:val="2"/>
  </w:num>
  <w:num w:numId="8" w16cid:durableId="847257373">
    <w:abstractNumId w:val="1"/>
  </w:num>
  <w:num w:numId="9" w16cid:durableId="866404037">
    <w:abstractNumId w:val="0"/>
  </w:num>
  <w:num w:numId="10" w16cid:durableId="147063280">
    <w:abstractNumId w:val="9"/>
  </w:num>
  <w:num w:numId="11" w16cid:durableId="16517122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6450"/>
    <w:rsid w:val="0029639D"/>
    <w:rsid w:val="00326F90"/>
    <w:rsid w:val="00A6246C"/>
    <w:rsid w:val="00AA1D8D"/>
    <w:rsid w:val="00B47730"/>
    <w:rsid w:val="00C4282B"/>
    <w:rsid w:val="00CB0664"/>
    <w:rsid w:val="00E30C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1B2659"/>
  <w14:defaultImageDpi w14:val="300"/>
  <w15:docId w15:val="{6CCCF79F-7E41-40DE-B354-77BD9B7A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2025-12-20T01:05:00Z</dcterms:created>
  <dcterms:modified xsi:type="dcterms:W3CDTF">2025-12-20T01:05:00Z</dcterms:modified>
  <cp:category/>
</cp:coreProperties>
</file>