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1C3E5" w14:textId="77777777" w:rsidR="00621C52" w:rsidRDefault="00000000">
      <w:r>
        <w:t>Quarterly Market Read: December 19, 2025</w:t>
      </w:r>
    </w:p>
    <w:p w14:paraId="44F3A7A6" w14:textId="77777777" w:rsidR="00621C52" w:rsidRDefault="00000000">
      <w:r>
        <w:t>The market is saying (all numbers are QTD % returns):</w:t>
      </w:r>
    </w:p>
    <w:p w14:paraId="52735901" w14:textId="77777777" w:rsidR="00621C52" w:rsidRDefault="00000000" w:rsidP="009879B2">
      <w:pPr>
        <w:pStyle w:val="ListBullet"/>
        <w:numPr>
          <w:ilvl w:val="0"/>
          <w:numId w:val="10"/>
        </w:numPr>
      </w:pPr>
      <w:r>
        <w:t>Breadth: 50.8% of names are positive.</w:t>
      </w:r>
    </w:p>
    <w:p w14:paraId="2E2A6311" w14:textId="77777777" w:rsidR="00621C52" w:rsidRDefault="00000000" w:rsidP="009879B2">
      <w:pPr>
        <w:pStyle w:val="ListBullet"/>
        <w:numPr>
          <w:ilvl w:val="0"/>
          <w:numId w:val="10"/>
        </w:numPr>
      </w:pPr>
      <w:r>
        <w:t>Information Technology: leading (avg +4.53%)</w:t>
      </w:r>
    </w:p>
    <w:p w14:paraId="2B2745A4" w14:textId="77777777" w:rsidR="00621C52" w:rsidRDefault="00000000" w:rsidP="009879B2">
      <w:pPr>
        <w:pStyle w:val="ListBullet"/>
        <w:numPr>
          <w:ilvl w:val="0"/>
          <w:numId w:val="10"/>
        </w:numPr>
      </w:pPr>
      <w:r>
        <w:t>Industrials: flat/firm (avg +1.23%)</w:t>
      </w:r>
    </w:p>
    <w:p w14:paraId="1CA75C7A" w14:textId="77777777" w:rsidR="00621C52" w:rsidRDefault="00000000" w:rsidP="009879B2">
      <w:pPr>
        <w:pStyle w:val="ListBullet"/>
        <w:numPr>
          <w:ilvl w:val="0"/>
          <w:numId w:val="10"/>
        </w:numPr>
      </w:pPr>
      <w:r>
        <w:t>Consumer Staples: flat/firm (avg +0.43%)</w:t>
      </w:r>
    </w:p>
    <w:p w14:paraId="5B937B20" w14:textId="77777777" w:rsidR="00621C52" w:rsidRDefault="00000000" w:rsidP="009879B2">
      <w:pPr>
        <w:pStyle w:val="ListBullet"/>
        <w:numPr>
          <w:ilvl w:val="0"/>
          <w:numId w:val="10"/>
        </w:numPr>
      </w:pPr>
      <w:r>
        <w:t>Consumer Discretionary: flat/firm (avg +0.08%)</w:t>
      </w:r>
    </w:p>
    <w:p w14:paraId="43E76D6A" w14:textId="77777777" w:rsidR="00621C52" w:rsidRDefault="00000000" w:rsidP="009879B2">
      <w:pPr>
        <w:pStyle w:val="ListBullet"/>
        <w:numPr>
          <w:ilvl w:val="0"/>
          <w:numId w:val="10"/>
        </w:numPr>
      </w:pPr>
      <w:r>
        <w:t>Financials: firm (avg +1.56%)</w:t>
      </w:r>
    </w:p>
    <w:p w14:paraId="205D5FD7" w14:textId="77777777" w:rsidR="00621C52" w:rsidRDefault="00000000" w:rsidP="009879B2">
      <w:pPr>
        <w:pStyle w:val="ListBullet"/>
        <w:numPr>
          <w:ilvl w:val="0"/>
          <w:numId w:val="10"/>
        </w:numPr>
      </w:pPr>
      <w:r>
        <w:t>Utilities: heavy (avg -3.52%)</w:t>
      </w:r>
    </w:p>
    <w:p w14:paraId="393276E6" w14:textId="77777777" w:rsidR="00621C52" w:rsidRDefault="00000000" w:rsidP="009879B2">
      <w:pPr>
        <w:pStyle w:val="ListBullet"/>
        <w:numPr>
          <w:ilvl w:val="0"/>
          <w:numId w:val="10"/>
        </w:numPr>
      </w:pPr>
      <w:r>
        <w:t>Real Estate: heavy (avg -6.56%)</w:t>
      </w:r>
    </w:p>
    <w:p w14:paraId="60082D72" w14:textId="77777777" w:rsidR="00621C52" w:rsidRDefault="00000000" w:rsidP="009879B2">
      <w:pPr>
        <w:pStyle w:val="ListBullet"/>
        <w:numPr>
          <w:ilvl w:val="0"/>
          <w:numId w:val="10"/>
        </w:numPr>
      </w:pPr>
      <w:r>
        <w:t>Materials: flat/firm (avg +0.47%)</w:t>
      </w:r>
    </w:p>
    <w:p w14:paraId="34C44ABA" w14:textId="77777777" w:rsidR="00621C52" w:rsidRDefault="00000000" w:rsidP="009879B2">
      <w:pPr>
        <w:pStyle w:val="ListBullet"/>
        <w:numPr>
          <w:ilvl w:val="0"/>
          <w:numId w:val="10"/>
        </w:numPr>
      </w:pPr>
      <w:r>
        <w:t>Energy: soft (avg -1.63%)</w:t>
      </w:r>
    </w:p>
    <w:p w14:paraId="69739304" w14:textId="77777777" w:rsidR="00621C52" w:rsidRDefault="00000000" w:rsidP="009879B2">
      <w:pPr>
        <w:pStyle w:val="ListBullet"/>
        <w:numPr>
          <w:ilvl w:val="0"/>
          <w:numId w:val="10"/>
        </w:numPr>
      </w:pPr>
      <w:r>
        <w:t>Health Care: leading (avg +8.55%)</w:t>
      </w:r>
    </w:p>
    <w:p w14:paraId="11DBEB4E" w14:textId="77777777" w:rsidR="00621C52" w:rsidRDefault="00000000" w:rsidP="009879B2">
      <w:pPr>
        <w:pStyle w:val="ListBullet"/>
        <w:numPr>
          <w:ilvl w:val="0"/>
          <w:numId w:val="10"/>
        </w:numPr>
      </w:pPr>
      <w:r>
        <w:t>Communication Services: heavy (avg -5.43%)</w:t>
      </w:r>
    </w:p>
    <w:p w14:paraId="3CDEC390" w14:textId="77777777" w:rsidR="00621C52" w:rsidRDefault="00000000" w:rsidP="009879B2">
      <w:pPr>
        <w:pStyle w:val="ListBullet"/>
        <w:numPr>
          <w:ilvl w:val="0"/>
          <w:numId w:val="10"/>
        </w:numPr>
      </w:pPr>
      <w:r>
        <w:t>Energy Complex: heavy (avg -7.25%)</w:t>
      </w:r>
    </w:p>
    <w:p w14:paraId="4E7F3518" w14:textId="77777777" w:rsidR="00621C52" w:rsidRDefault="00000000">
      <w:r>
        <w:t>Macro levers (QTD % returns):</w:t>
      </w:r>
    </w:p>
    <w:p w14:paraId="0124ABB2" w14:textId="77777777" w:rsidR="00621C52" w:rsidRDefault="00000000" w:rsidP="009879B2">
      <w:pPr>
        <w:pStyle w:val="ListBullet"/>
        <w:numPr>
          <w:ilvl w:val="0"/>
          <w:numId w:val="11"/>
        </w:numPr>
      </w:pPr>
      <w:r>
        <w:t>Gold: bid (avg +12.25%)</w:t>
      </w:r>
    </w:p>
    <w:p w14:paraId="76DB7432" w14:textId="77777777" w:rsidR="00621C52" w:rsidRDefault="00000000" w:rsidP="009879B2">
      <w:pPr>
        <w:pStyle w:val="ListBullet"/>
        <w:numPr>
          <w:ilvl w:val="0"/>
          <w:numId w:val="11"/>
        </w:numPr>
      </w:pPr>
      <w:r>
        <w:t>USD: firm (avg +2.04%)</w:t>
      </w:r>
    </w:p>
    <w:p w14:paraId="5C05ACA2" w14:textId="77777777" w:rsidR="00621C52" w:rsidRDefault="00000000" w:rsidP="009879B2">
      <w:pPr>
        <w:pStyle w:val="ListBullet"/>
        <w:numPr>
          <w:ilvl w:val="0"/>
          <w:numId w:val="11"/>
        </w:numPr>
      </w:pPr>
      <w:r>
        <w:t>Yields: flat (avg +0.35%)</w:t>
      </w:r>
    </w:p>
    <w:p w14:paraId="60BC9BA4" w14:textId="77777777" w:rsidR="00621C52" w:rsidRDefault="00000000" w:rsidP="009879B2">
      <w:pPr>
        <w:pStyle w:val="ListBullet"/>
        <w:numPr>
          <w:ilvl w:val="0"/>
          <w:numId w:val="11"/>
        </w:numPr>
      </w:pPr>
      <w:r>
        <w:t>Bonds: falling (avg -1.43%)</w:t>
      </w:r>
    </w:p>
    <w:p w14:paraId="3EABC5C9" w14:textId="77777777" w:rsidR="00621C52" w:rsidRDefault="00000000" w:rsidP="009879B2">
      <w:pPr>
        <w:pStyle w:val="ListBullet"/>
        <w:numPr>
          <w:ilvl w:val="0"/>
          <w:numId w:val="11"/>
        </w:numPr>
      </w:pPr>
      <w:r>
        <w:t>Energy Complex (sector-level): falling (avg -7.25%)</w:t>
      </w:r>
    </w:p>
    <w:p w14:paraId="57FD3038" w14:textId="77777777" w:rsidR="00621C52" w:rsidRDefault="00000000">
      <w:r>
        <w:t>Bottom line: With just over half of stocks positive QTD, breadth is only marginally supportive and the tape is increasingly selective, with Health Care and Information Technology carrying leadership while Financials and cyclicals like Industrials and Materials are merely firm to flat, and defensives are bifurcated as Consumer Staples hold in but classic bond proxies such as Utilities and Real Estate trade heavy alongside weak Energy and Communication Services. Macro conditions reflect slowing growth and pressured earnings against still-sticky inflation, and that mix is echoed in a firm USD, flat yields, falling bonds, and a bid in Gold alongside a heavy Energy complex, all of which together argue for a cautious, quality-tilted risk posture that aligns with the market’s preference for secular growth and resilient earnings over rate-sensitive and commodity-linked laggards this quarter.</w:t>
      </w:r>
    </w:p>
    <w:sectPr w:rsidR="00621C5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9CC4285"/>
    <w:multiLevelType w:val="hybridMultilevel"/>
    <w:tmpl w:val="67D23A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7700574"/>
    <w:multiLevelType w:val="hybridMultilevel"/>
    <w:tmpl w:val="AA9491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9633799">
    <w:abstractNumId w:val="8"/>
  </w:num>
  <w:num w:numId="2" w16cid:durableId="681323667">
    <w:abstractNumId w:val="6"/>
  </w:num>
  <w:num w:numId="3" w16cid:durableId="1642495705">
    <w:abstractNumId w:val="5"/>
  </w:num>
  <w:num w:numId="4" w16cid:durableId="871193380">
    <w:abstractNumId w:val="4"/>
  </w:num>
  <w:num w:numId="5" w16cid:durableId="373968880">
    <w:abstractNumId w:val="7"/>
  </w:num>
  <w:num w:numId="6" w16cid:durableId="1897741309">
    <w:abstractNumId w:val="3"/>
  </w:num>
  <w:num w:numId="7" w16cid:durableId="439181649">
    <w:abstractNumId w:val="2"/>
  </w:num>
  <w:num w:numId="8" w16cid:durableId="2132434480">
    <w:abstractNumId w:val="1"/>
  </w:num>
  <w:num w:numId="9" w16cid:durableId="1076125402">
    <w:abstractNumId w:val="0"/>
  </w:num>
  <w:num w:numId="10" w16cid:durableId="1934781052">
    <w:abstractNumId w:val="10"/>
  </w:num>
  <w:num w:numId="11" w16cid:durableId="118655823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621C52"/>
    <w:rsid w:val="0093318B"/>
    <w:rsid w:val="009879B2"/>
    <w:rsid w:val="00AA1D8D"/>
    <w:rsid w:val="00B47730"/>
    <w:rsid w:val="00CB0664"/>
    <w:rsid w:val="00E53B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683201"/>
  <w14:defaultImageDpi w14:val="300"/>
  <w15:docId w15:val="{575B1389-CD9D-44BC-8478-0552D96F98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245</Words>
  <Characters>1401</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2025-12-20T01:06:00Z</dcterms:created>
  <dcterms:modified xsi:type="dcterms:W3CDTF">2025-12-20T01:06:00Z</dcterms:modified>
  <cp:category/>
</cp:coreProperties>
</file>