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D88F019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E748F8">
        <w:t>Macro conditions reflect growth slowing from elevated levels and easing but still elevated inflation pressures, which is echoed by the combination of rising yields, a stronger USD, weak bonds, and a firm gold and energy complex that together point to the market recalibrating toward slower forward earnings momentum but persistent real-rate and commodity underpinnings rather than outright recessionary stress.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C6364"/>
    <w:rsid w:val="005D35DB"/>
    <w:rsid w:val="005D4749"/>
    <w:rsid w:val="005E48CC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59</Words>
  <Characters>365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45</cp:revision>
  <dcterms:created xsi:type="dcterms:W3CDTF">2025-10-14T15:51:00Z</dcterms:created>
  <dcterms:modified xsi:type="dcterms:W3CDTF">2025-12-20T01:04:00Z</dcterms:modified>
</cp:coreProperties>
</file>