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330C077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904897">
        <w:t>Macro conditions reflect a market navigating slowing growth and still-elevated-but-easing inflation, with higher yields and weaker bonds alongside a soft USD, strong gold, and a pressured energy complex signaling tighter real-financial conditions and persistent inflation risk even as the growth and earnings backdrop grinds lower.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5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38</cp:revision>
  <dcterms:created xsi:type="dcterms:W3CDTF">2025-10-18T00:26:00Z</dcterms:created>
  <dcterms:modified xsi:type="dcterms:W3CDTF">2025-12-20T01:06:00Z</dcterms:modified>
</cp:coreProperties>
</file>