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029FD80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4C6372">
        <w:t>Macro posture shows growth is slowing sequentially with earnings revisions still under pressure while inflation, though easing off the highs, remains above pre-COVID norms, a mix that is echoed in the week’s factor moves: stronger USD and Gold alongside falling yields and a heavy Energy complex point to a market leaning toward more defensive, quality, and cash-flow certainty rather than embracing a reflationary growth upswing.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C18C0"/>
    <w:rsid w:val="003D1E42"/>
    <w:rsid w:val="004205C2"/>
    <w:rsid w:val="004343ED"/>
    <w:rsid w:val="0043726C"/>
    <w:rsid w:val="00473204"/>
    <w:rsid w:val="00486EAF"/>
    <w:rsid w:val="00487528"/>
    <w:rsid w:val="004B54D8"/>
    <w:rsid w:val="004C6372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5ACE"/>
    <w:rsid w:val="00E814C2"/>
    <w:rsid w:val="00E93CD3"/>
    <w:rsid w:val="00EA0B3A"/>
    <w:rsid w:val="00EB2D7D"/>
    <w:rsid w:val="00EC15F6"/>
    <w:rsid w:val="00F004A1"/>
    <w:rsid w:val="00F0530E"/>
    <w:rsid w:val="00F06037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63</Words>
  <Characters>381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39</cp:revision>
  <dcterms:created xsi:type="dcterms:W3CDTF">2025-10-18T00:25:00Z</dcterms:created>
  <dcterms:modified xsi:type="dcterms:W3CDTF">2025-12-20T01:05:00Z</dcterms:modified>
</cp:coreProperties>
</file>