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82F2CB0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F75F2" w:rsidRPr="00443B93">
        <w:t>A firmer dollar paired with weaker yields suggests investors expect softer growth ahead while still seeing inflation pressures as contained. That mix typically supports a cautious tape where selective strength can emerge but broad risk appetite remains constrained. Follow-through will depend on whether incoming macro data confirms cooling inflation without showing a sharp deterioration in demand — the path that would allow risk appetite to expand sustainably.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A3171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5F2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68</Words>
  <Characters>408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32</cp:revision>
  <dcterms:created xsi:type="dcterms:W3CDTF">2025-10-14T15:51:00Z</dcterms:created>
  <dcterms:modified xsi:type="dcterms:W3CDTF">2025-12-03T01:08:00Z</dcterms:modified>
</cp:coreProperties>
</file>