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Equity index returns are moderately negative vs the 10-year over 30 days, with the Nasdaq 100 showing the most concentrated rate sensitivity and the S&amp;P 500 close behind, while the Russell 2000 is less tied to yield moves. The 15-day window shows even more negative equity-rate linkages, suggesting recent stock moves have leaned more inversely on yields than the 1‑month average. Financials and utilities both exhibit contained 30-day sensitivity to rates, and their mixed short-term signs point to more idiosyncratic drivers than pure yield effects.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