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35360" w14:textId="77777777" w:rsidR="002D0C83" w:rsidRDefault="00000000">
      <w:r>
        <w:t>Monthly Market Read: January 16, 2026</w:t>
      </w:r>
    </w:p>
    <w:p w14:paraId="6D571709" w14:textId="77777777" w:rsidR="002D0C83" w:rsidRDefault="00000000">
      <w:r>
        <w:t>The market is saying (all numbers are MTD % returns):</w:t>
      </w:r>
    </w:p>
    <w:p w14:paraId="411B9334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Breadth: 72.7% of names are positive.</w:t>
      </w:r>
    </w:p>
    <w:p w14:paraId="59EB1120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Information Technology: leading (avg +3.59%)</w:t>
      </w:r>
    </w:p>
    <w:p w14:paraId="29FCCD4C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Industrials: leading (avg +7.44%)</w:t>
      </w:r>
    </w:p>
    <w:p w14:paraId="625C99D3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Consumer Staples: leading (avg +5.06%)</w:t>
      </w:r>
    </w:p>
    <w:p w14:paraId="15861CDB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Consumer Discretionary: leading (avg +3.62%)</w:t>
      </w:r>
    </w:p>
    <w:p w14:paraId="550DB1EF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Financials: leading (avg +0.83%)</w:t>
      </w:r>
    </w:p>
    <w:p w14:paraId="096FF665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Utilities: leading (avg +2.47%)</w:t>
      </w:r>
    </w:p>
    <w:p w14:paraId="274C28A1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Real Estate: leading (avg +4.60%)</w:t>
      </w:r>
    </w:p>
    <w:p w14:paraId="2FBF7B36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Materials: leading (avg +8.05%)</w:t>
      </w:r>
    </w:p>
    <w:p w14:paraId="5FE68E79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Energy: leading (avg +5.24%)</w:t>
      </w:r>
    </w:p>
    <w:p w14:paraId="2AF49937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Health Care: leading (avg +3.18%)</w:t>
      </w:r>
    </w:p>
    <w:p w14:paraId="04A6A3FB" w14:textId="77777777" w:rsidR="002D0C83" w:rsidRDefault="00000000" w:rsidP="001D21D5">
      <w:pPr>
        <w:pStyle w:val="ListBullet"/>
        <w:numPr>
          <w:ilvl w:val="0"/>
          <w:numId w:val="10"/>
        </w:numPr>
      </w:pPr>
      <w:r>
        <w:t>Communication Services: lagging (avg -3.76%)</w:t>
      </w:r>
    </w:p>
    <w:p w14:paraId="408278A9" w14:textId="77777777" w:rsidR="002D0C83" w:rsidRDefault="00000000">
      <w:r>
        <w:t>Macro levers (MTD % returns):</w:t>
      </w:r>
    </w:p>
    <w:p w14:paraId="685BB3C6" w14:textId="77777777" w:rsidR="002D0C83" w:rsidRDefault="00000000" w:rsidP="001D21D5">
      <w:pPr>
        <w:pStyle w:val="ListBullet"/>
        <w:numPr>
          <w:ilvl w:val="0"/>
          <w:numId w:val="11"/>
        </w:numPr>
      </w:pPr>
      <w:r>
        <w:t>Gold: leading (avg +6.30%)</w:t>
      </w:r>
    </w:p>
    <w:p w14:paraId="210C9E9B" w14:textId="77777777" w:rsidR="002D0C83" w:rsidRDefault="00000000" w:rsidP="001D21D5">
      <w:pPr>
        <w:pStyle w:val="ListBullet"/>
        <w:numPr>
          <w:ilvl w:val="0"/>
          <w:numId w:val="11"/>
        </w:numPr>
      </w:pPr>
      <w:r>
        <w:t>USD: leading (avg +1.11%)</w:t>
      </w:r>
    </w:p>
    <w:p w14:paraId="7C2D5475" w14:textId="77777777" w:rsidR="002D0C83" w:rsidRDefault="00000000" w:rsidP="001D21D5">
      <w:pPr>
        <w:pStyle w:val="ListBullet"/>
        <w:numPr>
          <w:ilvl w:val="0"/>
          <w:numId w:val="11"/>
        </w:numPr>
      </w:pPr>
      <w:r>
        <w:t>Yields: leading (avg +1.49%)</w:t>
      </w:r>
    </w:p>
    <w:p w14:paraId="720DF686" w14:textId="77777777" w:rsidR="002D0C83" w:rsidRDefault="00000000" w:rsidP="001D21D5">
      <w:pPr>
        <w:pStyle w:val="ListBullet"/>
        <w:numPr>
          <w:ilvl w:val="0"/>
          <w:numId w:val="11"/>
        </w:numPr>
      </w:pPr>
      <w:r>
        <w:t>Bonds: leading (avg +0.35%)</w:t>
      </w:r>
    </w:p>
    <w:p w14:paraId="1CB773C9" w14:textId="77777777" w:rsidR="002D0C83" w:rsidRDefault="00000000" w:rsidP="001D21D5">
      <w:pPr>
        <w:pStyle w:val="ListBullet"/>
        <w:numPr>
          <w:ilvl w:val="0"/>
          <w:numId w:val="11"/>
        </w:numPr>
      </w:pPr>
      <w:r>
        <w:t>Energy complex: soft (avg -6.07%)</w:t>
      </w:r>
    </w:p>
    <w:p w14:paraId="1D9C70E1" w14:textId="77777777" w:rsidR="002D0C83" w:rsidRDefault="00000000">
      <w:r>
        <w:t>Bottom line: With roughly 73% of stocks positive month-to-date and broad sector participation, the tape is confirming a constructive backdrop led by cyclicals and defensives alike, as Materials (+8.05%), Industrials (+7.44%), Energy equities (+5.24%), Consumer Staples (+5.06%), and Real Estate (+4.60%) all post strong gains, while Tech, Consumer Discretionary, Health Care, Utilities, and Financials grind higher and Communication Services stands out as the lone notable laggard (-3.76%). Macro conditions reflect an environment where growth is slowing and earnings revisions remain under pressure while inflation, though easing from prior peaks, is still above pre-COVID norms, consistent with a firmer USD (+1.11%), higher yields (+1.49%), resilient bonds (+0.35%), strong gold (+6.30%) as a hedge against lingering price and policy risk, and a soft energy complex (-6.07%) that tempers immediate inflation fears even as equity sectors tied to real assets and defensives outperform.</w:t>
      </w:r>
    </w:p>
    <w:sectPr w:rsidR="002D0C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48A17F6"/>
    <w:multiLevelType w:val="hybridMultilevel"/>
    <w:tmpl w:val="D21CF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A04EE2"/>
    <w:multiLevelType w:val="hybridMultilevel"/>
    <w:tmpl w:val="DC205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2558615">
    <w:abstractNumId w:val="8"/>
  </w:num>
  <w:num w:numId="2" w16cid:durableId="283393455">
    <w:abstractNumId w:val="6"/>
  </w:num>
  <w:num w:numId="3" w16cid:durableId="93064252">
    <w:abstractNumId w:val="5"/>
  </w:num>
  <w:num w:numId="4" w16cid:durableId="1950114552">
    <w:abstractNumId w:val="4"/>
  </w:num>
  <w:num w:numId="5" w16cid:durableId="1138648615">
    <w:abstractNumId w:val="7"/>
  </w:num>
  <w:num w:numId="6" w16cid:durableId="1605527409">
    <w:abstractNumId w:val="3"/>
  </w:num>
  <w:num w:numId="7" w16cid:durableId="703288524">
    <w:abstractNumId w:val="2"/>
  </w:num>
  <w:num w:numId="8" w16cid:durableId="1855723256">
    <w:abstractNumId w:val="1"/>
  </w:num>
  <w:num w:numId="9" w16cid:durableId="1533110095">
    <w:abstractNumId w:val="0"/>
  </w:num>
  <w:num w:numId="10" w16cid:durableId="1502312284">
    <w:abstractNumId w:val="9"/>
  </w:num>
  <w:num w:numId="11" w16cid:durableId="8500989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21D5"/>
    <w:rsid w:val="00262C1A"/>
    <w:rsid w:val="0029639D"/>
    <w:rsid w:val="002D0C83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DE2513"/>
  <w14:defaultImageDpi w14:val="300"/>
  <w15:docId w15:val="{FEC97EC4-E126-4401-8412-274FE2D95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235</Words>
  <Characters>1458</Characters>
  <Application>Microsoft Office Word</Application>
  <DocSecurity>0</DocSecurity>
  <Lines>33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2</cp:revision>
  <dcterms:created xsi:type="dcterms:W3CDTF">2026-01-17T01:05:00Z</dcterms:created>
  <dcterms:modified xsi:type="dcterms:W3CDTF">2026-01-17T01:05:00Z</dcterms:modified>
  <cp:category/>
</cp:coreProperties>
</file>