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past 30 days, broad U. S. equities (S&amp;P 500, Nasdaq 100, Russell 2000) and sector ETFs show only contained day-to-day sensitivity to moves in the 10Y yield, with sign and size of correlations shifting modestly across 15D and 90D windows. Utilities stand out slightly as the most rate‑sensitive equity sector in this set, tilting negative vs.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