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view, meaningful USD sensitivity is concentrated in gold, which shows a mild but consistent tendency to move opposite the dollar across 15-, 30-, and 90-day windows. Equities, oil, broad commodities, and bitcoin all show relatively contained and unstable USD linkages, with recent correlations small and flipping sign over different lookbacks, suggesting no strong or reliable pattern to their dollar sensitivity right now.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