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CE5B3" w14:textId="77777777" w:rsidR="00A51EF3" w:rsidRPr="001127B3" w:rsidRDefault="00547C0F" w:rsidP="00A51EF3">
      <w:r w:rsidRPr="00C73559">
        <w:rPr>
          <w:b/>
          <w:bCs/>
        </w:rPr>
        <w:t>Bottom line:</w:t>
      </w:r>
      <w:r w:rsidRPr="00C73559">
        <w:t xml:space="preserve"> </w:t>
      </w:r>
      <w:r w:rsidR="00A51EF3" w:rsidRPr="001127B3">
        <w:t xml:space="preserve">Falling yields and a softer dollar point to </w:t>
      </w:r>
      <w:r w:rsidR="00A51EF3" w:rsidRPr="001127B3">
        <w:rPr>
          <w:b/>
          <w:bCs/>
        </w:rPr>
        <w:t>waning inflation pressures</w:t>
      </w:r>
      <w:r w:rsidR="00A51EF3" w:rsidRPr="001127B3">
        <w:t xml:space="preserve">, but risk appetite remains muted as investors question </w:t>
      </w:r>
      <w:r w:rsidR="00A51EF3" w:rsidRPr="001127B3">
        <w:rPr>
          <w:b/>
          <w:bCs/>
        </w:rPr>
        <w:t>growth durability</w:t>
      </w:r>
      <w:r w:rsidR="00A51EF3" w:rsidRPr="001127B3">
        <w:t>. The setup reflects a cautious tone—</w:t>
      </w:r>
      <w:r w:rsidR="00A51EF3" w:rsidRPr="001127B3">
        <w:rPr>
          <w:b/>
          <w:bCs/>
        </w:rPr>
        <w:t>risk-off across most sectors</w:t>
      </w:r>
      <w:r w:rsidR="00A51EF3" w:rsidRPr="001127B3">
        <w:t>, while macro signals suggest an early rotation toward safety and duration.</w:t>
      </w:r>
    </w:p>
    <w:p w14:paraId="5A40CDC3" w14:textId="6CA4B807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EF3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40</Words>
  <Characters>258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22</cp:revision>
  <dcterms:created xsi:type="dcterms:W3CDTF">2025-10-14T15:51:00Z</dcterms:created>
  <dcterms:modified xsi:type="dcterms:W3CDTF">2025-11-07T01:07:00Z</dcterms:modified>
</cp:coreProperties>
</file>