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EED0B" w14:textId="77777777" w:rsidR="00C36C8D" w:rsidRPr="00FE3D84" w:rsidRDefault="00547C0F" w:rsidP="00C36C8D">
      <w:r w:rsidRPr="00C73559">
        <w:rPr>
          <w:b/>
          <w:bCs/>
        </w:rPr>
        <w:t>Bottom line:</w:t>
      </w:r>
      <w:r w:rsidRPr="00C73559">
        <w:t xml:space="preserve"> </w:t>
      </w:r>
      <w:r w:rsidR="00C36C8D" w:rsidRPr="00FE3D84">
        <w:t xml:space="preserve">The macro profile — </w:t>
      </w:r>
      <w:r w:rsidR="00C36C8D" w:rsidRPr="00FE3D84">
        <w:rPr>
          <w:b/>
          <w:bCs/>
        </w:rPr>
        <w:t>soft gold and bonds, flat USD, steady yields, and firm energy</w:t>
      </w:r>
      <w:r w:rsidR="00C36C8D" w:rsidRPr="00FE3D84">
        <w:t xml:space="preserve"> — suggests </w:t>
      </w:r>
      <w:r w:rsidR="00C36C8D" w:rsidRPr="00FE3D84">
        <w:rPr>
          <w:b/>
          <w:bCs/>
        </w:rPr>
        <w:t>firmer growth and modest inflation pressures</w:t>
      </w:r>
      <w:r w:rsidR="00C36C8D" w:rsidRPr="00FE3D84">
        <w:t xml:space="preserve">, a </w:t>
      </w:r>
      <w:r w:rsidR="00C36C8D" w:rsidRPr="00FE3D84">
        <w:rPr>
          <w:b/>
          <w:bCs/>
        </w:rPr>
        <w:t>pro-cyclical tilt</w:t>
      </w:r>
      <w:r w:rsidR="00C36C8D" w:rsidRPr="00FE3D84">
        <w:t xml:space="preserve"> consistent with </w:t>
      </w:r>
      <w:r w:rsidR="00C36C8D" w:rsidRPr="00FE3D84">
        <w:rPr>
          <w:b/>
          <w:bCs/>
        </w:rPr>
        <w:t>mild reflationary undertones</w:t>
      </w:r>
      <w:r w:rsidR="00C36C8D" w:rsidRPr="00FE3D84">
        <w:t xml:space="preserve">. Markets are shifting toward </w:t>
      </w:r>
      <w:r w:rsidR="00C36C8D" w:rsidRPr="00FE3D84">
        <w:rPr>
          <w:b/>
          <w:bCs/>
        </w:rPr>
        <w:t>selective risk-taking</w:t>
      </w:r>
      <w:r w:rsidR="00C36C8D" w:rsidRPr="00FE3D84">
        <w:t xml:space="preserve"> but remain narrow, favoring </w:t>
      </w:r>
      <w:r w:rsidR="00C36C8D" w:rsidRPr="00FE3D84">
        <w:rPr>
          <w:b/>
          <w:bCs/>
        </w:rPr>
        <w:t>Energy and late-cycle leadership</w:t>
      </w:r>
      <w:r w:rsidR="00C36C8D" w:rsidRPr="00FE3D84">
        <w:t xml:space="preserve"> while most sectors consolidate.</w:t>
      </w:r>
    </w:p>
    <w:p w14:paraId="5BE89ADB" w14:textId="77777777" w:rsidR="00C36C8D" w:rsidRPr="00632AE6" w:rsidRDefault="00C36C8D" w:rsidP="00C36C8D"/>
    <w:p w14:paraId="5A40CDC3" w14:textId="0589B7E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50D8C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24416"/>
    <w:rsid w:val="00A66203"/>
    <w:rsid w:val="00AB7262"/>
    <w:rsid w:val="00AE05E9"/>
    <w:rsid w:val="00AF286D"/>
    <w:rsid w:val="00BA3171"/>
    <w:rsid w:val="00C20EB0"/>
    <w:rsid w:val="00C36C8D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C8D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49</Words>
  <Characters>314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17</cp:revision>
  <dcterms:created xsi:type="dcterms:W3CDTF">2025-10-18T00:26:00Z</dcterms:created>
  <dcterms:modified xsi:type="dcterms:W3CDTF">2025-11-07T01:09:00Z</dcterms:modified>
</cp:coreProperties>
</file>