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DF3EA" w14:textId="77777777" w:rsidR="002D3D3A" w:rsidRPr="00560DCC" w:rsidRDefault="00547C0F" w:rsidP="002D3D3A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2D3D3A" w:rsidRPr="00560DCC">
        <w:rPr>
          <w:b/>
          <w:bCs/>
        </w:rPr>
        <w:t>Macro signals — yields easing, USD flat, gold soft, and the energy complex bid — suggest the market is bracing for slower growth alongside persistent commodity strength, favoring selective positioning, commodity-linked exposure, and defense until participation broadens and risk appetite resets.</w:t>
      </w:r>
    </w:p>
    <w:p w14:paraId="5A40CDC3" w14:textId="51334F11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C229E"/>
    <w:rsid w:val="002D3D3A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4064B"/>
    <w:rsid w:val="006D59AC"/>
    <w:rsid w:val="006F7D68"/>
    <w:rsid w:val="00732100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93CD3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3D3A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266</Characters>
  <Application>Microsoft Office Word</Application>
  <DocSecurity>0</DocSecurity>
  <Lines>6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16</cp:revision>
  <dcterms:created xsi:type="dcterms:W3CDTF">2025-10-18T00:25:00Z</dcterms:created>
  <dcterms:modified xsi:type="dcterms:W3CDTF">2025-11-07T01:08:00Z</dcterms:modified>
</cp:coreProperties>
</file>