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56946" w14:textId="77777777" w:rsidR="00A35AFC" w:rsidRDefault="00000000">
      <w:r>
        <w:t>Quarterly Market Read: December 11, 2025</w:t>
      </w:r>
    </w:p>
    <w:p w14:paraId="04D62A65" w14:textId="77777777" w:rsidR="00A35AFC" w:rsidRDefault="00000000">
      <w:r>
        <w:t>The market is saying (all numbers are QTD % returns):</w:t>
      </w:r>
    </w:p>
    <w:p w14:paraId="2725274E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Breadth: 55.1% of names are positive.</w:t>
      </w:r>
    </w:p>
    <w:p w14:paraId="5761A12B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Information Technology: leading (avg +7.50%)</w:t>
      </w:r>
    </w:p>
    <w:p w14:paraId="5770D38C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Industrials: firm (avg +2.53%)</w:t>
      </w:r>
    </w:p>
    <w:p w14:paraId="1E709567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Consumer Staples: firm (avg +1.53%)</w:t>
      </w:r>
    </w:p>
    <w:p w14:paraId="60204757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Consumer Discretionary: flat/firm (avg -0.18%)</w:t>
      </w:r>
    </w:p>
    <w:p w14:paraId="515DB3EA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Financials: firm (avg +1.61%)</w:t>
      </w:r>
    </w:p>
    <w:p w14:paraId="12CBF3A6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Utilities: soft (avg -2.97%)</w:t>
      </w:r>
    </w:p>
    <w:p w14:paraId="354EE067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Real Estate: heavy (avg -5.77%)</w:t>
      </w:r>
    </w:p>
    <w:p w14:paraId="2E0392A1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Materials: flat/firm (avg +0.41%)</w:t>
      </w:r>
    </w:p>
    <w:p w14:paraId="5A1D01B4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Energy: firm (avg +3.23%)</w:t>
      </w:r>
    </w:p>
    <w:p w14:paraId="25D740B7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Health Care: leading (avg +8.79%)</w:t>
      </w:r>
    </w:p>
    <w:p w14:paraId="4DDA7CA7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Communication Services: heavy (avg -5.14%)</w:t>
      </w:r>
    </w:p>
    <w:p w14:paraId="51ECFA25" w14:textId="77777777" w:rsidR="00A35AFC" w:rsidRDefault="00000000" w:rsidP="006A2060">
      <w:pPr>
        <w:pStyle w:val="ListBullet"/>
        <w:numPr>
          <w:ilvl w:val="0"/>
          <w:numId w:val="10"/>
        </w:numPr>
      </w:pPr>
      <w:r>
        <w:t>Energy Complex: heavy (avg -3.01%)</w:t>
      </w:r>
    </w:p>
    <w:p w14:paraId="7883810B" w14:textId="77777777" w:rsidR="00A35AFC" w:rsidRDefault="00000000">
      <w:r>
        <w:t>Macro levers (QTD % returns):</w:t>
      </w:r>
    </w:p>
    <w:p w14:paraId="67FA6F0A" w14:textId="77777777" w:rsidR="00A35AFC" w:rsidRDefault="00000000" w:rsidP="006A2060">
      <w:pPr>
        <w:pStyle w:val="ListBullet"/>
        <w:numPr>
          <w:ilvl w:val="0"/>
          <w:numId w:val="11"/>
        </w:numPr>
      </w:pPr>
      <w:r>
        <w:t>Gold: bid (avg +10.63%)</w:t>
      </w:r>
    </w:p>
    <w:p w14:paraId="0D82D024" w14:textId="77777777" w:rsidR="00A35AFC" w:rsidRDefault="00000000" w:rsidP="006A2060">
      <w:pPr>
        <w:pStyle w:val="ListBullet"/>
        <w:numPr>
          <w:ilvl w:val="0"/>
          <w:numId w:val="11"/>
        </w:numPr>
      </w:pPr>
      <w:r>
        <w:t>USD: firm (avg +1.45%)</w:t>
      </w:r>
    </w:p>
    <w:p w14:paraId="6E77B211" w14:textId="77777777" w:rsidR="00A35AFC" w:rsidRDefault="00000000" w:rsidP="006A2060">
      <w:pPr>
        <w:pStyle w:val="ListBullet"/>
        <w:numPr>
          <w:ilvl w:val="0"/>
          <w:numId w:val="11"/>
        </w:numPr>
      </w:pPr>
      <w:r>
        <w:t>Yields: flat (avg +0.20%)</w:t>
      </w:r>
    </w:p>
    <w:p w14:paraId="00F730D6" w14:textId="77777777" w:rsidR="00A35AFC" w:rsidRDefault="00000000" w:rsidP="006A2060">
      <w:pPr>
        <w:pStyle w:val="ListBullet"/>
        <w:numPr>
          <w:ilvl w:val="0"/>
          <w:numId w:val="11"/>
        </w:numPr>
      </w:pPr>
      <w:r>
        <w:t>Bonds: soft (avg -0.79%)</w:t>
      </w:r>
    </w:p>
    <w:p w14:paraId="2619428F" w14:textId="77777777" w:rsidR="00A35AFC" w:rsidRDefault="00000000" w:rsidP="006A2060">
      <w:pPr>
        <w:pStyle w:val="ListBullet"/>
        <w:numPr>
          <w:ilvl w:val="0"/>
          <w:numId w:val="11"/>
        </w:numPr>
      </w:pPr>
      <w:r>
        <w:t>Energy Complex (sector-level): falling (avg -3.01%)</w:t>
      </w:r>
    </w:p>
    <w:p w14:paraId="55A759E2" w14:textId="77777777" w:rsidR="00A35AFC" w:rsidRDefault="00000000">
      <w:r>
        <w:t>Bottom line: Breadth remains constructive with 55% of names positive QTD, but leadership is narrow, led by Health Care (+8.8%) and Information Technology (+7.5%), supported by firm prints in Energy (+3.2%), Industrials (+2.5%), Financials (+1.6%), Consumer Staples (+1.5%), and Materials (+0.4%), while Consumer Discretionary is essentially flat and defensives like Utilities (-3.0%), Communication Services (-5.1%), and especially Real Estate (-5.8%) trade heavy alongside a weaker Energy Complex (-3.0%), underscoring a market that is rewarding quality growth and balance-sheet strength over high-duration or rate‑sensitive exposures. Macro conditions reflect slowing growth and pressured earnings against still-sticky inflation, and the cross-asset tape—gold bid, the dollar firm, yields roughly flat with soft bonds, and a declining energy complex—confirms a cautious risk posture where investors are rotating up the quality spectrum rather than embracing broad cyclical beta.</w:t>
      </w:r>
    </w:p>
    <w:sectPr w:rsidR="00A35A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030C4E"/>
    <w:multiLevelType w:val="hybridMultilevel"/>
    <w:tmpl w:val="81FE5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5013A9"/>
    <w:multiLevelType w:val="hybridMultilevel"/>
    <w:tmpl w:val="C0E24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153776">
    <w:abstractNumId w:val="8"/>
  </w:num>
  <w:num w:numId="2" w16cid:durableId="1283272378">
    <w:abstractNumId w:val="6"/>
  </w:num>
  <w:num w:numId="3" w16cid:durableId="894395838">
    <w:abstractNumId w:val="5"/>
  </w:num>
  <w:num w:numId="4" w16cid:durableId="1475028721">
    <w:abstractNumId w:val="4"/>
  </w:num>
  <w:num w:numId="5" w16cid:durableId="603461379">
    <w:abstractNumId w:val="7"/>
  </w:num>
  <w:num w:numId="6" w16cid:durableId="1127435862">
    <w:abstractNumId w:val="3"/>
  </w:num>
  <w:num w:numId="7" w16cid:durableId="171341299">
    <w:abstractNumId w:val="2"/>
  </w:num>
  <w:num w:numId="8" w16cid:durableId="560020133">
    <w:abstractNumId w:val="1"/>
  </w:num>
  <w:num w:numId="9" w16cid:durableId="121585052">
    <w:abstractNumId w:val="0"/>
  </w:num>
  <w:num w:numId="10" w16cid:durableId="118306482">
    <w:abstractNumId w:val="9"/>
  </w:num>
  <w:num w:numId="11" w16cid:durableId="915866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1FB1"/>
    <w:rsid w:val="0015074B"/>
    <w:rsid w:val="0029639D"/>
    <w:rsid w:val="00326F90"/>
    <w:rsid w:val="006933C2"/>
    <w:rsid w:val="006A2060"/>
    <w:rsid w:val="00A35AF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5A4466"/>
  <w14:defaultImageDpi w14:val="300"/>
  <w15:docId w15:val="{A3A499C9-4E68-41F8-901C-0B3CA9F5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2025-12-12T01:06:00Z</dcterms:created>
  <dcterms:modified xsi:type="dcterms:W3CDTF">2025-12-12T01:06:00Z</dcterms:modified>
  <cp:category/>
</cp:coreProperties>
</file>