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86083" w14:textId="77777777" w:rsidR="00B6148E" w:rsidRDefault="00000000">
      <w:r>
        <w:t>Weekly Market Read: December 11, 2025</w:t>
      </w:r>
    </w:p>
    <w:p w14:paraId="0E5A1506" w14:textId="77777777" w:rsidR="00B6148E" w:rsidRDefault="00000000">
      <w:r>
        <w:t>The market is saying (all numbers are WTD % returns):</w:t>
      </w:r>
    </w:p>
    <w:p w14:paraId="30E533EA" w14:textId="77777777" w:rsidR="00B6148E" w:rsidRDefault="00000000" w:rsidP="008E3F8A">
      <w:pPr>
        <w:pStyle w:val="ListBullet"/>
        <w:numPr>
          <w:ilvl w:val="0"/>
          <w:numId w:val="10"/>
        </w:numPr>
      </w:pPr>
      <w:r>
        <w:t>Breadth: 65.3% of names are positive.</w:t>
      </w:r>
    </w:p>
    <w:p w14:paraId="64055C57" w14:textId="77777777" w:rsidR="00B6148E" w:rsidRDefault="00000000" w:rsidP="008E3F8A">
      <w:pPr>
        <w:pStyle w:val="ListBullet"/>
        <w:numPr>
          <w:ilvl w:val="0"/>
          <w:numId w:val="10"/>
        </w:numPr>
      </w:pPr>
      <w:r>
        <w:t>Information Technology: leading (avg +1.66%)</w:t>
      </w:r>
    </w:p>
    <w:p w14:paraId="3CB4689F" w14:textId="77777777" w:rsidR="00B6148E" w:rsidRDefault="00000000" w:rsidP="008E3F8A">
      <w:pPr>
        <w:pStyle w:val="ListBullet"/>
        <w:numPr>
          <w:ilvl w:val="0"/>
          <w:numId w:val="10"/>
        </w:numPr>
      </w:pPr>
      <w:r>
        <w:t>Industrials: leading (avg +2.03%)</w:t>
      </w:r>
    </w:p>
    <w:p w14:paraId="701E6EA1" w14:textId="77777777" w:rsidR="00B6148E" w:rsidRDefault="00000000" w:rsidP="008E3F8A">
      <w:pPr>
        <w:pStyle w:val="ListBullet"/>
        <w:numPr>
          <w:ilvl w:val="0"/>
          <w:numId w:val="10"/>
        </w:numPr>
      </w:pPr>
      <w:r>
        <w:t>Consumer Staples: leading (avg +0.85%)</w:t>
      </w:r>
    </w:p>
    <w:p w14:paraId="5A8712A5" w14:textId="77777777" w:rsidR="00B6148E" w:rsidRDefault="00000000" w:rsidP="008E3F8A">
      <w:pPr>
        <w:pStyle w:val="ListBullet"/>
        <w:numPr>
          <w:ilvl w:val="0"/>
          <w:numId w:val="10"/>
        </w:numPr>
      </w:pPr>
      <w:r>
        <w:t>Consumer Discretionary: leading (avg +1.80%)</w:t>
      </w:r>
    </w:p>
    <w:p w14:paraId="0AE31D09" w14:textId="77777777" w:rsidR="00B6148E" w:rsidRDefault="00000000" w:rsidP="008E3F8A">
      <w:pPr>
        <w:pStyle w:val="ListBullet"/>
        <w:numPr>
          <w:ilvl w:val="0"/>
          <w:numId w:val="10"/>
        </w:numPr>
      </w:pPr>
      <w:r>
        <w:t>Financials: leading (avg +2.87%)</w:t>
      </w:r>
    </w:p>
    <w:p w14:paraId="45DD949F" w14:textId="77777777" w:rsidR="00B6148E" w:rsidRDefault="00000000" w:rsidP="008E3F8A">
      <w:pPr>
        <w:pStyle w:val="ListBullet"/>
        <w:numPr>
          <w:ilvl w:val="0"/>
          <w:numId w:val="10"/>
        </w:numPr>
      </w:pPr>
      <w:r>
        <w:t>Utilities: lagging (avg -0.75%)</w:t>
      </w:r>
    </w:p>
    <w:p w14:paraId="609B73FF" w14:textId="77777777" w:rsidR="00B6148E" w:rsidRDefault="00000000" w:rsidP="008E3F8A">
      <w:pPr>
        <w:pStyle w:val="ListBullet"/>
        <w:numPr>
          <w:ilvl w:val="0"/>
          <w:numId w:val="10"/>
        </w:numPr>
      </w:pPr>
      <w:r>
        <w:t>Real Estate: firm (avg +0.37%)</w:t>
      </w:r>
    </w:p>
    <w:p w14:paraId="46BDEE7B" w14:textId="77777777" w:rsidR="00B6148E" w:rsidRDefault="00000000" w:rsidP="008E3F8A">
      <w:pPr>
        <w:pStyle w:val="ListBullet"/>
        <w:numPr>
          <w:ilvl w:val="0"/>
          <w:numId w:val="10"/>
        </w:numPr>
      </w:pPr>
      <w:r>
        <w:t>Materials: leading (avg +2.52%)</w:t>
      </w:r>
    </w:p>
    <w:p w14:paraId="7F72AD49" w14:textId="77777777" w:rsidR="00B6148E" w:rsidRDefault="00000000" w:rsidP="008E3F8A">
      <w:pPr>
        <w:pStyle w:val="ListBullet"/>
        <w:numPr>
          <w:ilvl w:val="0"/>
          <w:numId w:val="10"/>
        </w:numPr>
      </w:pPr>
      <w:r>
        <w:t>Energy: lagging (avg -1.33%)</w:t>
      </w:r>
    </w:p>
    <w:p w14:paraId="6D6ECA18" w14:textId="77777777" w:rsidR="00B6148E" w:rsidRDefault="00000000" w:rsidP="008E3F8A">
      <w:pPr>
        <w:pStyle w:val="ListBullet"/>
        <w:numPr>
          <w:ilvl w:val="0"/>
          <w:numId w:val="10"/>
        </w:numPr>
      </w:pPr>
      <w:r>
        <w:t>Health Care: leading (avg +0.55%)</w:t>
      </w:r>
    </w:p>
    <w:p w14:paraId="4E4BEF3B" w14:textId="77777777" w:rsidR="00B6148E" w:rsidRDefault="00000000" w:rsidP="008E3F8A">
      <w:pPr>
        <w:pStyle w:val="ListBullet"/>
        <w:numPr>
          <w:ilvl w:val="0"/>
          <w:numId w:val="10"/>
        </w:numPr>
      </w:pPr>
      <w:r>
        <w:t>Communication Services: firm (avg +0.47%)</w:t>
      </w:r>
    </w:p>
    <w:p w14:paraId="06EB251A" w14:textId="77777777" w:rsidR="00B6148E" w:rsidRDefault="00000000">
      <w:r>
        <w:t>Macro levers (WTD % returns):</w:t>
      </w:r>
    </w:p>
    <w:p w14:paraId="05FB0C79" w14:textId="77777777" w:rsidR="00B6148E" w:rsidRDefault="00000000" w:rsidP="008E3F8A">
      <w:pPr>
        <w:pStyle w:val="ListBullet"/>
        <w:numPr>
          <w:ilvl w:val="0"/>
          <w:numId w:val="11"/>
        </w:numPr>
      </w:pPr>
      <w:r>
        <w:t>Gold: leading (avg +1.76%)</w:t>
      </w:r>
    </w:p>
    <w:p w14:paraId="0B1A3003" w14:textId="77777777" w:rsidR="00B6148E" w:rsidRDefault="00000000" w:rsidP="008E3F8A">
      <w:pPr>
        <w:pStyle w:val="ListBullet"/>
        <w:numPr>
          <w:ilvl w:val="0"/>
          <w:numId w:val="11"/>
        </w:numPr>
      </w:pPr>
      <w:r>
        <w:t>USD: lagging (avg -0.61%)</w:t>
      </w:r>
    </w:p>
    <w:p w14:paraId="06B0A375" w14:textId="77777777" w:rsidR="00B6148E" w:rsidRDefault="00000000" w:rsidP="008E3F8A">
      <w:pPr>
        <w:pStyle w:val="ListBullet"/>
        <w:numPr>
          <w:ilvl w:val="0"/>
          <w:numId w:val="11"/>
        </w:numPr>
      </w:pPr>
      <w:r>
        <w:t>Yields: firm (avg +0.00%)</w:t>
      </w:r>
    </w:p>
    <w:p w14:paraId="417B741B" w14:textId="77777777" w:rsidR="00B6148E" w:rsidRDefault="00000000" w:rsidP="008E3F8A">
      <w:pPr>
        <w:pStyle w:val="ListBullet"/>
        <w:numPr>
          <w:ilvl w:val="0"/>
          <w:numId w:val="11"/>
        </w:numPr>
      </w:pPr>
      <w:r>
        <w:t>Bonds: flat (avg -0.01%)</w:t>
      </w:r>
    </w:p>
    <w:p w14:paraId="3821F6EB" w14:textId="77777777" w:rsidR="00B6148E" w:rsidRDefault="00000000" w:rsidP="008E3F8A">
      <w:pPr>
        <w:pStyle w:val="ListBullet"/>
        <w:numPr>
          <w:ilvl w:val="0"/>
          <w:numId w:val="11"/>
        </w:numPr>
      </w:pPr>
      <w:r>
        <w:t>Energy complex: lagging (avg -11.91%)</w:t>
      </w:r>
    </w:p>
    <w:p w14:paraId="49C4458B" w14:textId="77777777" w:rsidR="00B6148E" w:rsidRDefault="00000000">
      <w:r>
        <w:t xml:space="preserve">Bottom line: Breadth was constructive with roughly two-thirds of names higher on the week, and the leadership mix skewed pro‑cyclical as Financials, Materials, Industrials, Consumer Discretionary, Tech, Staples, and Health Care all posted solid gains while Communication Services and Real Estate held firm. Defensive Utilities lagged and Energy underperformed sharply alongside a deeply negative move in the broader energy complex, underscoring a rotation away from classic late‑cycle havens within equities even as commodity-linked sectors came under pressure. </w:t>
      </w:r>
      <w:bookmarkStart w:id="0" w:name="_Hlk216375948"/>
      <w:r>
        <w:t>Macro conditions reflect an environment where growth is slowing sequentially and earnings revisions remain under strain while inflation, though easing from its peaks, is still elevated versus pre‑COVID norms, a backdrop echoed in the week’s factor tape of stronger gold, a softer dollar, and essentially unchanged yields and bonds that together point to investors inching toward safety and duration without yet fully pricing a more aggressive downside growth shock.</w:t>
      </w:r>
      <w:bookmarkEnd w:id="0"/>
    </w:p>
    <w:sectPr w:rsidR="00B614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EF7CED"/>
    <w:multiLevelType w:val="hybridMultilevel"/>
    <w:tmpl w:val="E518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6448CD"/>
    <w:multiLevelType w:val="hybridMultilevel"/>
    <w:tmpl w:val="4634C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306775">
    <w:abstractNumId w:val="8"/>
  </w:num>
  <w:num w:numId="2" w16cid:durableId="1624579998">
    <w:abstractNumId w:val="6"/>
  </w:num>
  <w:num w:numId="3" w16cid:durableId="696389684">
    <w:abstractNumId w:val="5"/>
  </w:num>
  <w:num w:numId="4" w16cid:durableId="979533624">
    <w:abstractNumId w:val="4"/>
  </w:num>
  <w:num w:numId="5" w16cid:durableId="1711110643">
    <w:abstractNumId w:val="7"/>
  </w:num>
  <w:num w:numId="6" w16cid:durableId="1593314376">
    <w:abstractNumId w:val="3"/>
  </w:num>
  <w:num w:numId="7" w16cid:durableId="1494419049">
    <w:abstractNumId w:val="2"/>
  </w:num>
  <w:num w:numId="8" w16cid:durableId="1655186227">
    <w:abstractNumId w:val="1"/>
  </w:num>
  <w:num w:numId="9" w16cid:durableId="1488983303">
    <w:abstractNumId w:val="0"/>
  </w:num>
  <w:num w:numId="10" w16cid:durableId="379086631">
    <w:abstractNumId w:val="9"/>
  </w:num>
  <w:num w:numId="11" w16cid:durableId="19766400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5608"/>
    <w:rsid w:val="0015074B"/>
    <w:rsid w:val="0029639D"/>
    <w:rsid w:val="002D34B5"/>
    <w:rsid w:val="00326F90"/>
    <w:rsid w:val="008E3F8A"/>
    <w:rsid w:val="00AA1D8D"/>
    <w:rsid w:val="00B47730"/>
    <w:rsid w:val="00B6148E"/>
    <w:rsid w:val="00CB0664"/>
    <w:rsid w:val="00DD38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F732D7"/>
  <w14:defaultImageDpi w14:val="300"/>
  <w15:docId w15:val="{E29F7E84-0ABE-4609-80AB-8A6D86221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241</Words>
  <Characters>1485</Characters>
  <Application>Microsoft Office Word</Application>
  <DocSecurity>0</DocSecurity>
  <Lines>32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2025-12-12T01:05:00Z</dcterms:created>
  <dcterms:modified xsi:type="dcterms:W3CDTF">2025-12-12T01:05:00Z</dcterms:modified>
  <cp:category/>
</cp:coreProperties>
</file>