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65B2B4B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B93B41">
        <w:t>Macro conditions reflect an environment where growth is slowing sequentially and earnings revisions remain under strain while inflation, though easing from its peaks, is still elevated versus pre‑COVID norms, a backdrop echoed in the week’s factor tape of stronger gold, a softer dollar, and essentially unchanged yields and bonds that together point to investors inching toward safety and duration without yet fully pricing a more aggressive downside growth shock.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C488F"/>
    <w:rsid w:val="000E0513"/>
    <w:rsid w:val="000E0FB2"/>
    <w:rsid w:val="000F5932"/>
    <w:rsid w:val="001114DC"/>
    <w:rsid w:val="00132CE2"/>
    <w:rsid w:val="00134680"/>
    <w:rsid w:val="00136E36"/>
    <w:rsid w:val="001562A5"/>
    <w:rsid w:val="00165186"/>
    <w:rsid w:val="001670B4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1422E"/>
    <w:rsid w:val="00320A80"/>
    <w:rsid w:val="00341859"/>
    <w:rsid w:val="003A41B5"/>
    <w:rsid w:val="003A7135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9D5CC7"/>
    <w:rsid w:val="00A01661"/>
    <w:rsid w:val="00A1108A"/>
    <w:rsid w:val="00A24917"/>
    <w:rsid w:val="00A66203"/>
    <w:rsid w:val="00AE05E9"/>
    <w:rsid w:val="00AF286D"/>
    <w:rsid w:val="00B20151"/>
    <w:rsid w:val="00B24CCD"/>
    <w:rsid w:val="00B652DE"/>
    <w:rsid w:val="00B71F8B"/>
    <w:rsid w:val="00B93B41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5ACE"/>
    <w:rsid w:val="00E93CD3"/>
    <w:rsid w:val="00EA0B3A"/>
    <w:rsid w:val="00EB2D7D"/>
    <w:rsid w:val="00EC15F6"/>
    <w:rsid w:val="00F004A1"/>
    <w:rsid w:val="00F0530E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67</Words>
  <Characters>412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33</cp:revision>
  <dcterms:created xsi:type="dcterms:W3CDTF">2025-10-18T00:25:00Z</dcterms:created>
  <dcterms:modified xsi:type="dcterms:W3CDTF">2025-12-12T01:05:00Z</dcterms:modified>
</cp:coreProperties>
</file>