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Equity index and sector sensitivity to the 10-year yield remains fairly contained on a 30-day basis, with all major groups showing only mild linkage to rate moves. The Nasdaq 100 is the most rate‑responsive equity benchmark here, with a more noticeable negative 30-day correlation than the S&amp;P 500 or Russell 2000, implying tech and growth names have been more prone to trade inversely with yields. Utilities have flipped from a positive 15-day association with yields to a mildly negative 30-day reading, suggesting their rate sensitivity has been unstable rather than consistently defensive. Overall, rate influence across these equity segments is dispersed rather than concentrated in any single non-bond asset.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