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view, the clearest USD linkage is concentrated in gold, which tends to move modestly opposite the dollar and shows a fairly consistent negative relationship across 15–90 days. Equities and oil are also leaning negatively linked to the USD over 30 days, but with weaker and less consistent patterns. Broad commodities and Bitcoin show contained and very mild USD sensitivity, with correlations hovering near zero across all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