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large-cap US equities—especially the Nasdaq 100 and S&amp;P 500—show a clear, moderate inverse linkage to 10-year yields, while small caps, financials, and utilities exhibit only mild rate sensitivity. The tech-heavy Nasdaq 100 stands out as the most rate-sensitive equity index in this window, suggesting that recent equity-rate dynamics are relatively concentrated in growth-oriented large caps. Over 15 days that negative linkage is even a bit stronger, while the 90-day readings drift closer to zero, underscoring how this rate sensitivity has emerged more in the shorter-term data than in the longer lookback.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