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past 30 trading days, USD sensitivity is concentrated in gold and bitcoin, with gold moving moderately opposite the dollar while bitcoin has tended to move in the same direction. The S&amp;P 500, oil, and broad commodities show relatively contained dollar linkages on this horizon, suggesting day-to-day equity and commodity moves have not been tightly tied to USD swings. The sharper negative 15D correlation in gold points to an especially acute recent inverse response to dollar moves, while bitcoin’s positive linkage has strengthened versus its more muted 90D relationship.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