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83C31" w14:textId="77777777" w:rsidR="00C13D59" w:rsidRDefault="00000000">
      <w:r>
        <w:t>Quarterly Market Read: December 26, 2025</w:t>
      </w:r>
    </w:p>
    <w:p w14:paraId="02936A4D" w14:textId="77777777" w:rsidR="00C13D59" w:rsidRDefault="00000000">
      <w:r>
        <w:t>The market is saying (all numbers are QTD % returns):</w:t>
      </w:r>
    </w:p>
    <w:p w14:paraId="6C61C43E" w14:textId="77777777" w:rsidR="00C13D59" w:rsidRDefault="00000000" w:rsidP="00A67519">
      <w:pPr>
        <w:pStyle w:val="ListBullet"/>
        <w:numPr>
          <w:ilvl w:val="0"/>
          <w:numId w:val="10"/>
        </w:numPr>
      </w:pPr>
      <w:r>
        <w:t>Breadth: 53.2% of names are positive.</w:t>
      </w:r>
    </w:p>
    <w:p w14:paraId="7DB2682C" w14:textId="77777777" w:rsidR="00C13D59" w:rsidRDefault="00000000" w:rsidP="00A67519">
      <w:pPr>
        <w:pStyle w:val="ListBullet"/>
        <w:numPr>
          <w:ilvl w:val="0"/>
          <w:numId w:val="10"/>
        </w:numPr>
      </w:pPr>
      <w:r>
        <w:t>Information Technology: leading (avg +5.49%)</w:t>
      </w:r>
    </w:p>
    <w:p w14:paraId="4053553F" w14:textId="77777777" w:rsidR="00C13D59" w:rsidRDefault="00000000" w:rsidP="00A67519">
      <w:pPr>
        <w:pStyle w:val="ListBullet"/>
        <w:numPr>
          <w:ilvl w:val="0"/>
          <w:numId w:val="10"/>
        </w:numPr>
      </w:pPr>
      <w:r>
        <w:t>Industrials: firm (avg +2.36%)</w:t>
      </w:r>
    </w:p>
    <w:p w14:paraId="57FA3611" w14:textId="77777777" w:rsidR="00C13D59" w:rsidRDefault="00000000" w:rsidP="00A67519">
      <w:pPr>
        <w:pStyle w:val="ListBullet"/>
        <w:numPr>
          <w:ilvl w:val="0"/>
          <w:numId w:val="10"/>
        </w:numPr>
      </w:pPr>
      <w:r>
        <w:t>Consumer Staples: flat/firm (avg +0.00%)</w:t>
      </w:r>
    </w:p>
    <w:p w14:paraId="34F8FE65" w14:textId="77777777" w:rsidR="00C13D59" w:rsidRDefault="00000000" w:rsidP="00A67519">
      <w:pPr>
        <w:pStyle w:val="ListBullet"/>
        <w:numPr>
          <w:ilvl w:val="0"/>
          <w:numId w:val="10"/>
        </w:numPr>
      </w:pPr>
      <w:r>
        <w:t>Consumer Discretionary: flat/firm (avg +0.24%)</w:t>
      </w:r>
    </w:p>
    <w:p w14:paraId="4F4448D3" w14:textId="77777777" w:rsidR="00C13D59" w:rsidRDefault="00000000" w:rsidP="00A67519">
      <w:pPr>
        <w:pStyle w:val="ListBullet"/>
        <w:numPr>
          <w:ilvl w:val="0"/>
          <w:numId w:val="10"/>
        </w:numPr>
      </w:pPr>
      <w:r>
        <w:t>Financials: firm (avg +2.83%)</w:t>
      </w:r>
    </w:p>
    <w:p w14:paraId="09AAA238" w14:textId="77777777" w:rsidR="00C13D59" w:rsidRDefault="00000000" w:rsidP="00A67519">
      <w:pPr>
        <w:pStyle w:val="ListBullet"/>
        <w:numPr>
          <w:ilvl w:val="0"/>
          <w:numId w:val="10"/>
        </w:numPr>
      </w:pPr>
      <w:r>
        <w:t>Utilities: soft (avg -2.41%)</w:t>
      </w:r>
    </w:p>
    <w:p w14:paraId="721DF078" w14:textId="77777777" w:rsidR="00C13D59" w:rsidRDefault="00000000" w:rsidP="00A67519">
      <w:pPr>
        <w:pStyle w:val="ListBullet"/>
        <w:numPr>
          <w:ilvl w:val="0"/>
          <w:numId w:val="10"/>
        </w:numPr>
      </w:pPr>
      <w:r>
        <w:t>Real Estate: heavy (avg -5.14%)</w:t>
      </w:r>
    </w:p>
    <w:p w14:paraId="019F194B" w14:textId="77777777" w:rsidR="00C13D59" w:rsidRDefault="00000000" w:rsidP="00A67519">
      <w:pPr>
        <w:pStyle w:val="ListBullet"/>
        <w:numPr>
          <w:ilvl w:val="0"/>
          <w:numId w:val="10"/>
        </w:numPr>
      </w:pPr>
      <w:r>
        <w:t>Materials: leading (avg +5.28%)</w:t>
      </w:r>
    </w:p>
    <w:p w14:paraId="4F9A02B9" w14:textId="77777777" w:rsidR="00C13D59" w:rsidRDefault="00000000" w:rsidP="00A67519">
      <w:pPr>
        <w:pStyle w:val="ListBullet"/>
        <w:numPr>
          <w:ilvl w:val="0"/>
          <w:numId w:val="10"/>
        </w:numPr>
      </w:pPr>
      <w:r>
        <w:t>Energy: soft (avg -1.20%)</w:t>
      </w:r>
    </w:p>
    <w:p w14:paraId="6267610D" w14:textId="77777777" w:rsidR="00C13D59" w:rsidRDefault="00000000" w:rsidP="00A67519">
      <w:pPr>
        <w:pStyle w:val="ListBullet"/>
        <w:numPr>
          <w:ilvl w:val="0"/>
          <w:numId w:val="10"/>
        </w:numPr>
      </w:pPr>
      <w:r>
        <w:t>Health Care: leading (avg +9.44%)</w:t>
      </w:r>
    </w:p>
    <w:p w14:paraId="33031FF7" w14:textId="77777777" w:rsidR="00C13D59" w:rsidRDefault="00000000" w:rsidP="00A67519">
      <w:pPr>
        <w:pStyle w:val="ListBullet"/>
        <w:numPr>
          <w:ilvl w:val="0"/>
          <w:numId w:val="10"/>
        </w:numPr>
      </w:pPr>
      <w:r>
        <w:t>Communication Services: heavy (avg -3.89%)</w:t>
      </w:r>
    </w:p>
    <w:p w14:paraId="19EE2452" w14:textId="77777777" w:rsidR="00C13D59" w:rsidRDefault="00000000" w:rsidP="00A67519">
      <w:pPr>
        <w:pStyle w:val="ListBullet"/>
        <w:numPr>
          <w:ilvl w:val="0"/>
          <w:numId w:val="10"/>
        </w:numPr>
      </w:pPr>
      <w:r>
        <w:t>Energy Complex: heavy (avg -4.57%)</w:t>
      </w:r>
    </w:p>
    <w:p w14:paraId="3086980B" w14:textId="77777777" w:rsidR="00C13D59" w:rsidRDefault="00000000">
      <w:r>
        <w:t>Macro levers (QTD % returns):</w:t>
      </w:r>
    </w:p>
    <w:p w14:paraId="36839897" w14:textId="77777777" w:rsidR="00C13D59" w:rsidRDefault="00000000" w:rsidP="00A67519">
      <w:pPr>
        <w:pStyle w:val="ListBullet"/>
        <w:numPr>
          <w:ilvl w:val="0"/>
          <w:numId w:val="11"/>
        </w:numPr>
      </w:pPr>
      <w:r>
        <w:t>Gold: bid (avg +17.24%)</w:t>
      </w:r>
    </w:p>
    <w:p w14:paraId="7181B457" w14:textId="77777777" w:rsidR="00C13D59" w:rsidRDefault="00000000" w:rsidP="00A67519">
      <w:pPr>
        <w:pStyle w:val="ListBullet"/>
        <w:numPr>
          <w:ilvl w:val="0"/>
          <w:numId w:val="11"/>
        </w:numPr>
      </w:pPr>
      <w:r>
        <w:t>USD: falling (avg -1.96%)</w:t>
      </w:r>
    </w:p>
    <w:p w14:paraId="17F0657E" w14:textId="77777777" w:rsidR="00C13D59" w:rsidRDefault="00000000" w:rsidP="00A67519">
      <w:pPr>
        <w:pStyle w:val="ListBullet"/>
        <w:numPr>
          <w:ilvl w:val="0"/>
          <w:numId w:val="11"/>
        </w:numPr>
      </w:pPr>
      <w:r>
        <w:t>Yields: flat (avg +0.21%)</w:t>
      </w:r>
    </w:p>
    <w:p w14:paraId="7C725E39" w14:textId="77777777" w:rsidR="00C13D59" w:rsidRDefault="00000000" w:rsidP="00A67519">
      <w:pPr>
        <w:pStyle w:val="ListBullet"/>
        <w:numPr>
          <w:ilvl w:val="0"/>
          <w:numId w:val="11"/>
        </w:numPr>
      </w:pPr>
      <w:r>
        <w:t>Bonds: falling (avg -1.20%)</w:t>
      </w:r>
    </w:p>
    <w:p w14:paraId="4A95AD8A" w14:textId="77777777" w:rsidR="00C13D59" w:rsidRDefault="00000000" w:rsidP="00A67519">
      <w:pPr>
        <w:pStyle w:val="ListBullet"/>
        <w:numPr>
          <w:ilvl w:val="0"/>
          <w:numId w:val="11"/>
        </w:numPr>
      </w:pPr>
      <w:r>
        <w:t>Energy Complex (sector-level): falling (avg -4.57%)</w:t>
      </w:r>
    </w:p>
    <w:p w14:paraId="11749B7B" w14:textId="77777777" w:rsidR="00C13D59" w:rsidRDefault="00000000">
      <w:r>
        <w:t>Bottom line: With just over half of the tape positive QTD, breadth is constructive but not exuberant, as leadership is concentrated in Health Care, Information Technology, and Materials, supported by firm Financials and Industrials, while defensives are mixed (Staples and Discretionary flat/firm) and classic bond-proxy and rate-sensitive areas like Real Estate, Utilities, and Communication Services trade heavy alongside a soft Energy sector. Macro posture shows slowing growth and pressured earnings revisions alongside still-elevated, sticky inflation, which is echoed in a bid for Gold, a weaker USD, flat yields, and soft bonds and energy prices, collectively signaling a market that is rewarding quality growth and secular winners while fading deep cyclicals and longer-duration, rate-sensitive assets as investors balance late-cycle growth concerns with persistent inflation risk.</w:t>
      </w:r>
    </w:p>
    <w:sectPr w:rsidR="00C13D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605E8"/>
    <w:multiLevelType w:val="hybridMultilevel"/>
    <w:tmpl w:val="99224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77131"/>
    <w:multiLevelType w:val="hybridMultilevel"/>
    <w:tmpl w:val="6AAA9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0955221">
    <w:abstractNumId w:val="8"/>
  </w:num>
  <w:num w:numId="2" w16cid:durableId="648631966">
    <w:abstractNumId w:val="6"/>
  </w:num>
  <w:num w:numId="3" w16cid:durableId="1880626355">
    <w:abstractNumId w:val="5"/>
  </w:num>
  <w:num w:numId="4" w16cid:durableId="875894886">
    <w:abstractNumId w:val="4"/>
  </w:num>
  <w:num w:numId="5" w16cid:durableId="1662344554">
    <w:abstractNumId w:val="7"/>
  </w:num>
  <w:num w:numId="6" w16cid:durableId="49421066">
    <w:abstractNumId w:val="3"/>
  </w:num>
  <w:num w:numId="7" w16cid:durableId="1798639693">
    <w:abstractNumId w:val="2"/>
  </w:num>
  <w:num w:numId="8" w16cid:durableId="142281990">
    <w:abstractNumId w:val="1"/>
  </w:num>
  <w:num w:numId="9" w16cid:durableId="33652543">
    <w:abstractNumId w:val="0"/>
  </w:num>
  <w:num w:numId="10" w16cid:durableId="1807235618">
    <w:abstractNumId w:val="10"/>
  </w:num>
  <w:num w:numId="11" w16cid:durableId="19744841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85C54"/>
    <w:rsid w:val="00A67519"/>
    <w:rsid w:val="00AA1D8D"/>
    <w:rsid w:val="00B47730"/>
    <w:rsid w:val="00C13D5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AFE45"/>
  <w14:defaultImageDpi w14:val="300"/>
  <w15:docId w15:val="{6C21A287-5D95-4D6F-A012-CC434F5F4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243</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2025-12-27T01:06:00Z</dcterms:created>
  <dcterms:modified xsi:type="dcterms:W3CDTF">2025-12-27T01:06:00Z</dcterms:modified>
  <cp:category/>
</cp:coreProperties>
</file>