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5A4BB8E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877A3">
        <w:t>Macro conditions reflect a backdrop where growth is slowing and earnings revisions remain under pressure while inflation, though easing from the peak, is still above pre-COVID norms—consistent with a stronger gold bid, a softer USD and bond complex, higher yields, and weak energy prices, collectively signaling a market that is cautiously leaning into cyclicals and duration risk despite a late-cycle growth and sticky-inflation mix.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B54D1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66203"/>
    <w:rsid w:val="00AA2E66"/>
    <w:rsid w:val="00AA47D7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62</Words>
  <Characters>386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43</cp:revision>
  <dcterms:created xsi:type="dcterms:W3CDTF">2025-10-18T00:26:00Z</dcterms:created>
  <dcterms:modified xsi:type="dcterms:W3CDTF">2025-12-27T01:06:00Z</dcterms:modified>
</cp:coreProperties>
</file>