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The S&amp;P 500, Nasdaq 100, and Russell 2000 show moderate negative correlations with the 10Y Treasury yield over 30 days, suggesting a sensitivity to interest rate movements, albeit less pronounced than utilities. Utilities exhibit a strong negative correlation, indicating a concentrated sensitivity to rates among defensive sectors. Financials demonstrate lower sensitivity, while longer-term assets reveal a remarkably strong negative connection, highlighting their distinct responsiveness to rate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