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(SPX, NDX, RUT) and financials have shown only mild, contained sensitivity to moves in the 10-year yield, with correlations hovering near zero. Utilities stand out as the most rate‑sensitive equity sector, with a consistently negative relationship to yields over 15D, 30D, and 90D, though that influence is not dominant across the equity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