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and gold, with broad commodities, oil, and especially GLD all showing clear inverse moves when the dollar strengthens. GLD stands out as the single strongest USD-linked asset, and its negative correlation has been both persistent and relatively stable across 15D and 90D windows. In contrast, the S&amp;P 500 and Bitcoin futures show only contained, low-level co-movement with the dollar, suggesting equity and crypto performance has been largely driven by non-USD factors over these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