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278FE06" w:rsidR="00136E36" w:rsidRPr="001103C1" w:rsidRDefault="00547C0F" w:rsidP="00EB2D7D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1103C1" w:rsidRPr="00590387">
        <w:rPr>
          <w:b/>
          <w:bCs/>
        </w:rPr>
        <w:t>The macro tone — gold bid, USD steady, yields rising, bonds soft, and a firm energy complex — signals reflationary undertones, with growth expectations holding firm but inflation pressures sticky. The tape continues to favor hard assets and late-cycle defensives, while growth, cyclicals, and rate-sensitive areas struggle to gain traction amid rising rate dynamics and uneven participation.</w:t>
      </w:r>
    </w:p>
    <w:sectPr w:rsidR="00136E36" w:rsidRPr="001103C1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03C1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50D8C"/>
    <w:rsid w:val="00362D0E"/>
    <w:rsid w:val="00386ADE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E7F9D"/>
    <w:rsid w:val="00D31655"/>
    <w:rsid w:val="00D437F3"/>
    <w:rsid w:val="00D67E5D"/>
    <w:rsid w:val="00D737A3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3C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57</Words>
  <Characters>346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23</cp:revision>
  <dcterms:created xsi:type="dcterms:W3CDTF">2025-10-18T00:26:00Z</dcterms:created>
  <dcterms:modified xsi:type="dcterms:W3CDTF">2025-11-19T01:07:00Z</dcterms:modified>
</cp:coreProperties>
</file>