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17668" w14:textId="77777777" w:rsidR="000E0513" w:rsidRPr="00996754" w:rsidRDefault="00547C0F" w:rsidP="000E0513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0E0513" w:rsidRPr="00996754">
        <w:rPr>
          <w:b/>
          <w:bCs/>
        </w:rPr>
        <w:t>Macro posture — USD firm, yields easing, gold soft, bonds flat, and the energy complex softer — indicates slowing growth with cooling inflation pressure, an environment that favors defensive positioning, liquidity preservation, and lower beta until breadth stabilizes and market appetite for risk returns.</w:t>
      </w:r>
    </w:p>
    <w:p w14:paraId="5A40CDC3" w14:textId="55285350" w:rsidR="00136E36" w:rsidRPr="00634228" w:rsidRDefault="00136E36" w:rsidP="00EB2D7D"/>
    <w:sectPr w:rsidR="00136E36" w:rsidRPr="00634228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34228"/>
    <w:rsid w:val="0064064B"/>
    <w:rsid w:val="00691DFC"/>
    <w:rsid w:val="006A5841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513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44</Words>
  <Characters>273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24</cp:revision>
  <dcterms:created xsi:type="dcterms:W3CDTF">2025-10-18T00:25:00Z</dcterms:created>
  <dcterms:modified xsi:type="dcterms:W3CDTF">2025-11-19T01:06:00Z</dcterms:modified>
</cp:coreProperties>
</file>