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Rates correlations: Over the last 30 trading days, rate sensitivity is concentrated in the large-cap equity benchmarks, with both the S&amp;P 500 and Nasdaq 100 showing moderately negative correlations to rising 10-year yields, while the Russell 2000, Financials, and Utilities sit in a much weaker band. The 15-day window shows this negative linkage for SPX and NDX has recently intensified, whereas the 90-day readings hovering near zero suggest that this relationship has not been consistently persistent over the longer lookback.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