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the 30D window, gold and bitcoin show the clearest USD linkage, with gold moving moderately opposite to the dollar and bitcoin tending to move with it, and both patterns reinforced by their 15D readings. The rest of the complex (S&amp;P 500, oil, and broad commodities) shows relatively contained and mixed USD sensitivity, with only mild negative ties for commodities and near-flat linkage for equities. Overall, USD influence is concentrated in gold (inverse) and bitcoin (positive), rather than broad-based across risk assets and real assets.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