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AC41" w14:textId="77777777" w:rsidR="00B5635F" w:rsidRPr="00291D06" w:rsidRDefault="00000000">
      <w:pPr>
        <w:rPr>
          <w:rFonts w:ascii="Cambria" w:hAnsi="Cambria"/>
        </w:rPr>
      </w:pPr>
      <w:r w:rsidRPr="00291D06">
        <w:rPr>
          <w:rFonts w:ascii="Cambria" w:hAnsi="Cambria"/>
        </w:rPr>
        <w:t>Market Read: December 17, 2025</w:t>
      </w:r>
    </w:p>
    <w:p w14:paraId="61BA4118" w14:textId="2570F5AC" w:rsidR="00B5635F" w:rsidRPr="00291D06" w:rsidRDefault="00000000">
      <w:pPr>
        <w:rPr>
          <w:rFonts w:ascii="Cambria" w:hAnsi="Cambria"/>
        </w:rPr>
      </w:pPr>
      <w:r w:rsidRPr="00291D06">
        <w:rPr>
          <w:rFonts w:ascii="Cambria" w:hAnsi="Cambria"/>
        </w:rPr>
        <w:t>The market is saying:</w:t>
      </w:r>
    </w:p>
    <w:p w14:paraId="416012D0" w14:textId="77777777" w:rsidR="00B5635F" w:rsidRPr="00291D06" w:rsidRDefault="00000000" w:rsidP="00291D06">
      <w:pPr>
        <w:pStyle w:val="ListParagraph"/>
        <w:numPr>
          <w:ilvl w:val="0"/>
          <w:numId w:val="1"/>
        </w:numPr>
        <w:rPr>
          <w:rFonts w:ascii="Cambria" w:hAnsi="Cambria"/>
        </w:rPr>
      </w:pPr>
      <w:r w:rsidRPr="00291D06">
        <w:rPr>
          <w:rFonts w:ascii="Cambria" w:hAnsi="Cambria"/>
        </w:rPr>
        <w:t>Breadth: 47.5% of names are positive.</w:t>
      </w:r>
    </w:p>
    <w:p w14:paraId="1DBE8F08" w14:textId="77777777" w:rsidR="00B5635F" w:rsidRPr="00291D06" w:rsidRDefault="00000000" w:rsidP="00291D06">
      <w:pPr>
        <w:pStyle w:val="ListParagraph"/>
        <w:numPr>
          <w:ilvl w:val="0"/>
          <w:numId w:val="1"/>
        </w:numPr>
        <w:rPr>
          <w:rFonts w:ascii="Cambria" w:hAnsi="Cambria"/>
        </w:rPr>
      </w:pPr>
      <w:r w:rsidRPr="00291D06">
        <w:rPr>
          <w:rFonts w:ascii="Cambria" w:hAnsi="Cambria"/>
        </w:rPr>
        <w:t>Information Technology: lagging (avg -1.77%)</w:t>
      </w:r>
    </w:p>
    <w:p w14:paraId="3281D4BD" w14:textId="77777777" w:rsidR="00B5635F" w:rsidRPr="00291D06" w:rsidRDefault="00000000" w:rsidP="00291D06">
      <w:pPr>
        <w:pStyle w:val="ListParagraph"/>
        <w:numPr>
          <w:ilvl w:val="0"/>
          <w:numId w:val="1"/>
        </w:numPr>
        <w:rPr>
          <w:rFonts w:ascii="Cambria" w:hAnsi="Cambria"/>
        </w:rPr>
      </w:pPr>
      <w:r w:rsidRPr="00291D06">
        <w:rPr>
          <w:rFonts w:ascii="Cambria" w:hAnsi="Cambria"/>
        </w:rPr>
        <w:t>Industrials: lagging (avg -0.98%)</w:t>
      </w:r>
    </w:p>
    <w:p w14:paraId="39CB1E4B" w14:textId="77777777" w:rsidR="00B5635F" w:rsidRPr="00291D06" w:rsidRDefault="00000000" w:rsidP="00291D06">
      <w:pPr>
        <w:pStyle w:val="ListParagraph"/>
        <w:numPr>
          <w:ilvl w:val="0"/>
          <w:numId w:val="1"/>
        </w:numPr>
        <w:rPr>
          <w:rFonts w:ascii="Cambria" w:hAnsi="Cambria"/>
        </w:rPr>
      </w:pPr>
      <w:r w:rsidRPr="00291D06">
        <w:rPr>
          <w:rFonts w:ascii="Cambria" w:hAnsi="Cambria"/>
        </w:rPr>
        <w:t>Consumer Staples: firm (avg +0.35%)</w:t>
      </w:r>
    </w:p>
    <w:p w14:paraId="4055EF99" w14:textId="77777777" w:rsidR="00B5635F" w:rsidRPr="00291D06" w:rsidRDefault="00000000" w:rsidP="00291D06">
      <w:pPr>
        <w:pStyle w:val="ListParagraph"/>
        <w:numPr>
          <w:ilvl w:val="0"/>
          <w:numId w:val="1"/>
        </w:numPr>
        <w:rPr>
          <w:rFonts w:ascii="Cambria" w:hAnsi="Cambria"/>
        </w:rPr>
      </w:pPr>
      <w:r w:rsidRPr="00291D06">
        <w:rPr>
          <w:rFonts w:ascii="Cambria" w:hAnsi="Cambria"/>
        </w:rPr>
        <w:t>Consumer Discretionary: soft (avg -0.33%)</w:t>
      </w:r>
    </w:p>
    <w:p w14:paraId="3BD59DF1" w14:textId="77777777" w:rsidR="00B5635F" w:rsidRPr="00291D06" w:rsidRDefault="00000000" w:rsidP="00291D06">
      <w:pPr>
        <w:pStyle w:val="ListParagraph"/>
        <w:numPr>
          <w:ilvl w:val="0"/>
          <w:numId w:val="1"/>
        </w:numPr>
        <w:rPr>
          <w:rFonts w:ascii="Cambria" w:hAnsi="Cambria"/>
        </w:rPr>
      </w:pPr>
      <w:r w:rsidRPr="00291D06">
        <w:rPr>
          <w:rFonts w:ascii="Cambria" w:hAnsi="Cambria"/>
        </w:rPr>
        <w:t>Financials: flat (avg +0.06%)</w:t>
      </w:r>
    </w:p>
    <w:p w14:paraId="0D190CD5" w14:textId="77777777" w:rsidR="00B5635F" w:rsidRPr="00291D06" w:rsidRDefault="00000000" w:rsidP="00291D06">
      <w:pPr>
        <w:pStyle w:val="ListParagraph"/>
        <w:numPr>
          <w:ilvl w:val="0"/>
          <w:numId w:val="1"/>
        </w:numPr>
        <w:rPr>
          <w:rFonts w:ascii="Cambria" w:hAnsi="Cambria"/>
        </w:rPr>
      </w:pPr>
      <w:r w:rsidRPr="00291D06">
        <w:rPr>
          <w:rFonts w:ascii="Cambria" w:hAnsi="Cambria"/>
        </w:rPr>
        <w:t>Utilities: soft (avg -0.27%)</w:t>
      </w:r>
    </w:p>
    <w:p w14:paraId="150DF889" w14:textId="77777777" w:rsidR="00B5635F" w:rsidRPr="00291D06" w:rsidRDefault="00000000" w:rsidP="00291D06">
      <w:pPr>
        <w:pStyle w:val="ListParagraph"/>
        <w:numPr>
          <w:ilvl w:val="0"/>
          <w:numId w:val="1"/>
        </w:numPr>
        <w:rPr>
          <w:rFonts w:ascii="Cambria" w:hAnsi="Cambria"/>
        </w:rPr>
      </w:pPr>
      <w:r w:rsidRPr="00291D06">
        <w:rPr>
          <w:rFonts w:ascii="Cambria" w:hAnsi="Cambria"/>
        </w:rPr>
        <w:t>Real Estate: leading (avg +0.83%)</w:t>
      </w:r>
    </w:p>
    <w:p w14:paraId="5404593D" w14:textId="77777777" w:rsidR="00B5635F" w:rsidRPr="00291D06" w:rsidRDefault="00000000" w:rsidP="00291D06">
      <w:pPr>
        <w:pStyle w:val="ListParagraph"/>
        <w:numPr>
          <w:ilvl w:val="0"/>
          <w:numId w:val="1"/>
        </w:numPr>
        <w:rPr>
          <w:rFonts w:ascii="Cambria" w:hAnsi="Cambria"/>
        </w:rPr>
      </w:pPr>
      <w:r w:rsidRPr="00291D06">
        <w:rPr>
          <w:rFonts w:ascii="Cambria" w:hAnsi="Cambria"/>
        </w:rPr>
        <w:t>Materials: leading (avg +0.67%)</w:t>
      </w:r>
    </w:p>
    <w:p w14:paraId="45E05F36" w14:textId="77777777" w:rsidR="00B5635F" w:rsidRPr="00291D06" w:rsidRDefault="00000000" w:rsidP="00291D06">
      <w:pPr>
        <w:pStyle w:val="ListParagraph"/>
        <w:numPr>
          <w:ilvl w:val="0"/>
          <w:numId w:val="1"/>
        </w:numPr>
        <w:rPr>
          <w:rFonts w:ascii="Cambria" w:hAnsi="Cambria"/>
        </w:rPr>
      </w:pPr>
      <w:r w:rsidRPr="00291D06">
        <w:rPr>
          <w:rFonts w:ascii="Cambria" w:hAnsi="Cambria"/>
        </w:rPr>
        <w:t>Energy: leading (avg +2.47%)</w:t>
      </w:r>
    </w:p>
    <w:p w14:paraId="4BB18397" w14:textId="77777777" w:rsidR="00B5635F" w:rsidRPr="00291D06" w:rsidRDefault="00000000" w:rsidP="00291D06">
      <w:pPr>
        <w:pStyle w:val="ListParagraph"/>
        <w:numPr>
          <w:ilvl w:val="0"/>
          <w:numId w:val="1"/>
        </w:numPr>
        <w:rPr>
          <w:rFonts w:ascii="Cambria" w:hAnsi="Cambria"/>
        </w:rPr>
      </w:pPr>
      <w:r w:rsidRPr="00291D06">
        <w:rPr>
          <w:rFonts w:ascii="Cambria" w:hAnsi="Cambria"/>
        </w:rPr>
        <w:t>Health Care: flat (avg -0.00%)</w:t>
      </w:r>
    </w:p>
    <w:p w14:paraId="7412240D" w14:textId="77777777" w:rsidR="00B5635F" w:rsidRPr="00291D06" w:rsidRDefault="00000000" w:rsidP="00291D06">
      <w:pPr>
        <w:pStyle w:val="ListParagraph"/>
        <w:numPr>
          <w:ilvl w:val="0"/>
          <w:numId w:val="1"/>
        </w:numPr>
        <w:rPr>
          <w:rFonts w:ascii="Cambria" w:hAnsi="Cambria"/>
        </w:rPr>
      </w:pPr>
      <w:r w:rsidRPr="00291D06">
        <w:rPr>
          <w:rFonts w:ascii="Cambria" w:hAnsi="Cambria"/>
        </w:rPr>
        <w:t>Communication Services: lagging (avg -0.40%)</w:t>
      </w:r>
    </w:p>
    <w:p w14:paraId="064632EC" w14:textId="77777777" w:rsidR="00B5635F" w:rsidRPr="00291D06" w:rsidRDefault="00000000">
      <w:pPr>
        <w:rPr>
          <w:rFonts w:ascii="Cambria" w:hAnsi="Cambria"/>
        </w:rPr>
      </w:pPr>
      <w:r w:rsidRPr="00291D06">
        <w:rPr>
          <w:rFonts w:ascii="Cambria" w:hAnsi="Cambria"/>
        </w:rPr>
        <w:t>Macro levers:</w:t>
      </w:r>
    </w:p>
    <w:p w14:paraId="4E1C45B3" w14:textId="77777777" w:rsidR="00B5635F" w:rsidRPr="00291D06" w:rsidRDefault="00000000" w:rsidP="00291D06">
      <w:pPr>
        <w:pStyle w:val="ListParagraph"/>
        <w:numPr>
          <w:ilvl w:val="0"/>
          <w:numId w:val="2"/>
        </w:numPr>
        <w:rPr>
          <w:rFonts w:ascii="Cambria" w:hAnsi="Cambria"/>
        </w:rPr>
      </w:pPr>
      <w:r w:rsidRPr="00291D06">
        <w:rPr>
          <w:rFonts w:ascii="Cambria" w:hAnsi="Cambria"/>
        </w:rPr>
        <w:t>Gold: leading (avg +0.86%)</w:t>
      </w:r>
    </w:p>
    <w:p w14:paraId="2DAAC62F" w14:textId="77777777" w:rsidR="00B5635F" w:rsidRPr="00291D06" w:rsidRDefault="00000000" w:rsidP="00291D06">
      <w:pPr>
        <w:pStyle w:val="ListParagraph"/>
        <w:numPr>
          <w:ilvl w:val="0"/>
          <w:numId w:val="2"/>
        </w:numPr>
        <w:rPr>
          <w:rFonts w:ascii="Cambria" w:hAnsi="Cambria"/>
        </w:rPr>
      </w:pPr>
      <w:r w:rsidRPr="00291D06">
        <w:rPr>
          <w:rFonts w:ascii="Cambria" w:hAnsi="Cambria"/>
        </w:rPr>
        <w:t>USD: firm (avg +0.22%)</w:t>
      </w:r>
    </w:p>
    <w:p w14:paraId="0B81D0F8" w14:textId="77777777" w:rsidR="00B5635F" w:rsidRPr="00291D06" w:rsidRDefault="00000000" w:rsidP="00291D06">
      <w:pPr>
        <w:pStyle w:val="ListParagraph"/>
        <w:numPr>
          <w:ilvl w:val="0"/>
          <w:numId w:val="2"/>
        </w:numPr>
        <w:rPr>
          <w:rFonts w:ascii="Cambria" w:hAnsi="Cambria"/>
        </w:rPr>
      </w:pPr>
      <w:r w:rsidRPr="00291D06">
        <w:rPr>
          <w:rFonts w:ascii="Cambria" w:hAnsi="Cambria"/>
        </w:rPr>
        <w:t>Yields: firm (avg +0.06%)</w:t>
      </w:r>
    </w:p>
    <w:p w14:paraId="0E3A700C" w14:textId="77777777" w:rsidR="00B5635F" w:rsidRPr="00291D06" w:rsidRDefault="00000000" w:rsidP="00291D06">
      <w:pPr>
        <w:pStyle w:val="ListParagraph"/>
        <w:numPr>
          <w:ilvl w:val="0"/>
          <w:numId w:val="2"/>
        </w:numPr>
        <w:rPr>
          <w:rFonts w:ascii="Cambria" w:hAnsi="Cambria"/>
        </w:rPr>
      </w:pPr>
      <w:r w:rsidRPr="00291D06">
        <w:rPr>
          <w:rFonts w:ascii="Cambria" w:hAnsi="Cambria"/>
        </w:rPr>
        <w:t>Bonds: flat (avg -0.04%)</w:t>
      </w:r>
    </w:p>
    <w:p w14:paraId="72E92771" w14:textId="77777777" w:rsidR="00B5635F" w:rsidRPr="00291D06" w:rsidRDefault="00000000" w:rsidP="00291D06">
      <w:pPr>
        <w:pStyle w:val="ListParagraph"/>
        <w:numPr>
          <w:ilvl w:val="0"/>
          <w:numId w:val="2"/>
        </w:numPr>
        <w:rPr>
          <w:rFonts w:ascii="Cambria" w:hAnsi="Cambria"/>
        </w:rPr>
      </w:pPr>
      <w:r w:rsidRPr="00291D06">
        <w:rPr>
          <w:rFonts w:ascii="Cambria" w:hAnsi="Cambria"/>
        </w:rPr>
        <w:t>Energy complex: leading (avg +3.60%)</w:t>
      </w:r>
    </w:p>
    <w:p w14:paraId="5717C64B" w14:textId="77777777" w:rsidR="00B5635F" w:rsidRPr="00291D06" w:rsidRDefault="00000000">
      <w:pPr>
        <w:rPr>
          <w:rFonts w:ascii="Cambria" w:hAnsi="Cambria"/>
        </w:rPr>
      </w:pPr>
      <w:r w:rsidRPr="00291D06">
        <w:rPr>
          <w:rFonts w:ascii="Cambria" w:hAnsi="Cambria"/>
        </w:rPr>
        <w:t>Bottom line: Breadth is mixed with just under half the tape in the green, and leadership is skewed toward cyclicals and hard assets, with Energy, Materials, and Real Estate outperforming while defensives like Staples are firm and growth-heavy groups such as Tech, Industrials, and Communication Services lag alongside soft Discretionary and Utilities. Macro conditions reflect an environment where growth is slowing from high levels and earnings revisions are turning down even as inflation cools from prior peaks but stays structurally elevated, which is consistent with today’s pattern of strength in the energy and commodity complex, a firmer dollar and yields, resilient gold, and flat bonds that together signal the market is still paying for inflation protection and real-asset exposure while starting to question the durability of profit growth.</w:t>
      </w:r>
    </w:p>
    <w:sectPr w:rsidR="00B5635F" w:rsidRPr="00291D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E382F"/>
    <w:multiLevelType w:val="hybridMultilevel"/>
    <w:tmpl w:val="53427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D56145"/>
    <w:multiLevelType w:val="hybridMultilevel"/>
    <w:tmpl w:val="CA5E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8686881">
    <w:abstractNumId w:val="1"/>
  </w:num>
  <w:num w:numId="2" w16cid:durableId="950238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F22"/>
    <w:rsid w:val="00136E36"/>
    <w:rsid w:val="00225477"/>
    <w:rsid w:val="00285C57"/>
    <w:rsid w:val="00291D06"/>
    <w:rsid w:val="003643FB"/>
    <w:rsid w:val="003B5442"/>
    <w:rsid w:val="0048449B"/>
    <w:rsid w:val="00903F22"/>
    <w:rsid w:val="00B5635F"/>
    <w:rsid w:val="00CB0D7D"/>
    <w:rsid w:val="00E32A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E81C8"/>
  <w15:chartTrackingRefBased/>
  <w15:docId w15:val="{0484CE6F-B03F-4732-BA44-48EDFE77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F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3F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F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F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F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F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F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F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F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F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3F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3F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3F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3F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3F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F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F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F22"/>
    <w:rPr>
      <w:rFonts w:eastAsiaTheme="majorEastAsia" w:cstheme="majorBidi"/>
      <w:color w:val="272727" w:themeColor="text1" w:themeTint="D8"/>
    </w:rPr>
  </w:style>
  <w:style w:type="paragraph" w:styleId="Title">
    <w:name w:val="Title"/>
    <w:basedOn w:val="Normal"/>
    <w:next w:val="Normal"/>
    <w:link w:val="TitleChar"/>
    <w:uiPriority w:val="10"/>
    <w:qFormat/>
    <w:rsid w:val="00903F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F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F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F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F22"/>
    <w:pPr>
      <w:spacing w:before="160"/>
      <w:jc w:val="center"/>
    </w:pPr>
    <w:rPr>
      <w:i/>
      <w:iCs/>
      <w:color w:val="404040" w:themeColor="text1" w:themeTint="BF"/>
    </w:rPr>
  </w:style>
  <w:style w:type="character" w:customStyle="1" w:styleId="QuoteChar">
    <w:name w:val="Quote Char"/>
    <w:basedOn w:val="DefaultParagraphFont"/>
    <w:link w:val="Quote"/>
    <w:uiPriority w:val="29"/>
    <w:rsid w:val="00903F22"/>
    <w:rPr>
      <w:i/>
      <w:iCs/>
      <w:color w:val="404040" w:themeColor="text1" w:themeTint="BF"/>
    </w:rPr>
  </w:style>
  <w:style w:type="paragraph" w:styleId="ListParagraph">
    <w:name w:val="List Paragraph"/>
    <w:basedOn w:val="Normal"/>
    <w:uiPriority w:val="34"/>
    <w:qFormat/>
    <w:rsid w:val="00903F22"/>
    <w:pPr>
      <w:ind w:left="720"/>
      <w:contextualSpacing/>
    </w:pPr>
  </w:style>
  <w:style w:type="character" w:styleId="IntenseEmphasis">
    <w:name w:val="Intense Emphasis"/>
    <w:basedOn w:val="DefaultParagraphFont"/>
    <w:uiPriority w:val="21"/>
    <w:qFormat/>
    <w:rsid w:val="00903F22"/>
    <w:rPr>
      <w:i/>
      <w:iCs/>
      <w:color w:val="0F4761" w:themeColor="accent1" w:themeShade="BF"/>
    </w:rPr>
  </w:style>
  <w:style w:type="paragraph" w:styleId="IntenseQuote">
    <w:name w:val="Intense Quote"/>
    <w:basedOn w:val="Normal"/>
    <w:next w:val="Normal"/>
    <w:link w:val="IntenseQuoteChar"/>
    <w:uiPriority w:val="30"/>
    <w:qFormat/>
    <w:rsid w:val="00903F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F22"/>
    <w:rPr>
      <w:i/>
      <w:iCs/>
      <w:color w:val="0F4761" w:themeColor="accent1" w:themeShade="BF"/>
    </w:rPr>
  </w:style>
  <w:style w:type="character" w:styleId="IntenseReference">
    <w:name w:val="Intense Reference"/>
    <w:basedOn w:val="DefaultParagraphFont"/>
    <w:uiPriority w:val="32"/>
    <w:qFormat/>
    <w:rsid w:val="00903F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213</Words>
  <Characters>1270</Characters>
  <Application>Microsoft Office Word</Application>
  <DocSecurity>0</DocSecurity>
  <Lines>30</Lines>
  <Paragraphs>23</Paragraphs>
  <ScaleCrop>false</ScaleCrop>
  <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2</cp:revision>
  <dcterms:created xsi:type="dcterms:W3CDTF">2025-12-18T01:04:00Z</dcterms:created>
  <dcterms:modified xsi:type="dcterms:W3CDTF">2025-12-18T01:04:00Z</dcterms:modified>
</cp:coreProperties>
</file>