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5036" w14:textId="77777777" w:rsidR="00EB0D09" w:rsidRDefault="00000000">
      <w:r>
        <w:t>Market Read: December 10, 2025</w:t>
      </w:r>
    </w:p>
    <w:p w14:paraId="0DC11563" w14:textId="77777777" w:rsidR="00EB0D09" w:rsidRDefault="00000000">
      <w:r>
        <w:t>The market is saying:</w:t>
      </w:r>
    </w:p>
    <w:p w14:paraId="435E2AF7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Breadth: 77.5% of names are positive.</w:t>
      </w:r>
    </w:p>
    <w:p w14:paraId="0EA321D2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Information Technology: leading (avg +1.27%)</w:t>
      </w:r>
    </w:p>
    <w:p w14:paraId="235531D5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Industrials: leading (avg +1.99%)</w:t>
      </w:r>
    </w:p>
    <w:p w14:paraId="1665893B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Consumer Staples: leading (avg +0.94%)</w:t>
      </w:r>
    </w:p>
    <w:p w14:paraId="504E4F89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Consumer Discretionary: leading (avg +1.94%)</w:t>
      </w:r>
    </w:p>
    <w:p w14:paraId="674E0FF6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Financials: leading (avg +1.33%)</w:t>
      </w:r>
    </w:p>
    <w:p w14:paraId="38C73E5D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Utilities: soft (avg -0.30%)</w:t>
      </w:r>
    </w:p>
    <w:p w14:paraId="4EB04223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Real Estate: leading (avg +0.59%)</w:t>
      </w:r>
    </w:p>
    <w:p w14:paraId="5AE61613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Materials: leading (avg +2.45%)</w:t>
      </w:r>
    </w:p>
    <w:p w14:paraId="47E9BD2E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Energy: leading (avg +0.72%)</w:t>
      </w:r>
    </w:p>
    <w:p w14:paraId="6D0B653A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Health Care: leading (avg +1.61%)</w:t>
      </w:r>
    </w:p>
    <w:p w14:paraId="693741E7" w14:textId="77777777" w:rsidR="00EB0D09" w:rsidRDefault="00000000" w:rsidP="00354D1F">
      <w:pPr>
        <w:pStyle w:val="ListBullet"/>
        <w:numPr>
          <w:ilvl w:val="0"/>
          <w:numId w:val="10"/>
        </w:numPr>
      </w:pPr>
      <w:r>
        <w:t>Communication Services: firm (avg +0.40%)</w:t>
      </w:r>
    </w:p>
    <w:p w14:paraId="6F4892F0" w14:textId="77777777" w:rsidR="00EB0D09" w:rsidRDefault="00000000">
      <w:r>
        <w:t>Macro levers:</w:t>
      </w:r>
    </w:p>
    <w:p w14:paraId="4E39E943" w14:textId="77777777" w:rsidR="00EB0D09" w:rsidRDefault="00000000" w:rsidP="00354D1F">
      <w:pPr>
        <w:pStyle w:val="ListBullet"/>
        <w:numPr>
          <w:ilvl w:val="0"/>
          <w:numId w:val="11"/>
        </w:numPr>
      </w:pPr>
      <w:r>
        <w:t>Gold: leading (avg +0.43%)</w:t>
      </w:r>
    </w:p>
    <w:p w14:paraId="1EB694B8" w14:textId="77777777" w:rsidR="00EB0D09" w:rsidRDefault="00000000" w:rsidP="00354D1F">
      <w:pPr>
        <w:pStyle w:val="ListBullet"/>
        <w:numPr>
          <w:ilvl w:val="0"/>
          <w:numId w:val="11"/>
        </w:numPr>
      </w:pPr>
      <w:r>
        <w:t>USD: lagging (avg -0.53%)</w:t>
      </w:r>
    </w:p>
    <w:p w14:paraId="5D742777" w14:textId="77777777" w:rsidR="00EB0D09" w:rsidRDefault="00000000" w:rsidP="00354D1F">
      <w:pPr>
        <w:pStyle w:val="ListBullet"/>
        <w:numPr>
          <w:ilvl w:val="0"/>
          <w:numId w:val="11"/>
        </w:numPr>
      </w:pPr>
      <w:r>
        <w:t>Yields: lagging (avg -0.46%)</w:t>
      </w:r>
    </w:p>
    <w:p w14:paraId="4C1AEB27" w14:textId="77777777" w:rsidR="00EB0D09" w:rsidRDefault="00000000" w:rsidP="00354D1F">
      <w:pPr>
        <w:pStyle w:val="ListBullet"/>
        <w:numPr>
          <w:ilvl w:val="0"/>
          <w:numId w:val="11"/>
        </w:numPr>
      </w:pPr>
      <w:r>
        <w:t>Bonds: leading (avg +0.32%)</w:t>
      </w:r>
    </w:p>
    <w:p w14:paraId="3FBC18BA" w14:textId="77777777" w:rsidR="00EB0D09" w:rsidRDefault="00000000" w:rsidP="00354D1F">
      <w:pPr>
        <w:pStyle w:val="ListBullet"/>
        <w:numPr>
          <w:ilvl w:val="0"/>
          <w:numId w:val="11"/>
        </w:numPr>
      </w:pPr>
      <w:r>
        <w:t>Energy complex: leading (avg +1.05%)</w:t>
      </w:r>
    </w:p>
    <w:p w14:paraId="51DEFC2F" w14:textId="77777777" w:rsidR="00EB0D09" w:rsidRDefault="00000000">
      <w:r>
        <w:t xml:space="preserve">Bottom line: Broad participation with nearly 80% of names green and strong leadership across cyclicals (Industrials, Consumer Discretionary, Financials, Materials) alongside Tech and Health Care points to a pro‑risk tape, while defensive Utilities lag and Real Estate and Energy participate, reinforcing a rotation toward growth- and reflation-sensitive areas. </w:t>
      </w:r>
      <w:bookmarkStart w:id="0" w:name="_Hlk216289515"/>
      <w:r>
        <w:t>Macro posture shows growth is decelerating from elevated levels and inflation pressures are easing but still sticky versus pre-COVID, and today’s weaker dollar, softer yields, bid to bonds, firm gold, and strength across the energy complex together signal the market is leaning into a lower‑rate, still‑inflationary environment that currently favors risk assets with some ongoing demand for hedges.</w:t>
      </w:r>
      <w:bookmarkEnd w:id="0"/>
    </w:p>
    <w:sectPr w:rsidR="00EB0D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F5355B"/>
    <w:multiLevelType w:val="hybridMultilevel"/>
    <w:tmpl w:val="37BC7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71BD4"/>
    <w:multiLevelType w:val="hybridMultilevel"/>
    <w:tmpl w:val="8C7E3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157803">
    <w:abstractNumId w:val="8"/>
  </w:num>
  <w:num w:numId="2" w16cid:durableId="712730949">
    <w:abstractNumId w:val="6"/>
  </w:num>
  <w:num w:numId="3" w16cid:durableId="1495533113">
    <w:abstractNumId w:val="5"/>
  </w:num>
  <w:num w:numId="4" w16cid:durableId="252981082">
    <w:abstractNumId w:val="4"/>
  </w:num>
  <w:num w:numId="5" w16cid:durableId="1758866345">
    <w:abstractNumId w:val="7"/>
  </w:num>
  <w:num w:numId="6" w16cid:durableId="384764545">
    <w:abstractNumId w:val="3"/>
  </w:num>
  <w:num w:numId="7" w16cid:durableId="1048726111">
    <w:abstractNumId w:val="2"/>
  </w:num>
  <w:num w:numId="8" w16cid:durableId="1519584669">
    <w:abstractNumId w:val="1"/>
  </w:num>
  <w:num w:numId="9" w16cid:durableId="1541430680">
    <w:abstractNumId w:val="0"/>
  </w:num>
  <w:num w:numId="10" w16cid:durableId="2015762607">
    <w:abstractNumId w:val="10"/>
  </w:num>
  <w:num w:numId="11" w16cid:durableId="5809860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75C7B"/>
    <w:rsid w:val="0029639D"/>
    <w:rsid w:val="00326F90"/>
    <w:rsid w:val="00354D1F"/>
    <w:rsid w:val="00940E30"/>
    <w:rsid w:val="00AA1D8D"/>
    <w:rsid w:val="00B47730"/>
    <w:rsid w:val="00B6738B"/>
    <w:rsid w:val="00CB0664"/>
    <w:rsid w:val="00EB0D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6B6118"/>
  <w14:defaultImageDpi w14:val="300"/>
  <w15:docId w15:val="{5DD8F620-8981-4F6D-B3E9-A881566B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1217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3</cp:revision>
  <dcterms:created xsi:type="dcterms:W3CDTF">2025-12-11T01:04:00Z</dcterms:created>
  <dcterms:modified xsi:type="dcterms:W3CDTF">2025-12-11T01:05:00Z</dcterms:modified>
  <cp:category/>
</cp:coreProperties>
</file>