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E9BA1" w14:textId="77777777" w:rsidR="0018527C" w:rsidRDefault="00000000">
      <w:r>
        <w:t>Monthly Market Read: December 10, 2025</w:t>
      </w:r>
    </w:p>
    <w:p w14:paraId="580B33A7" w14:textId="77777777" w:rsidR="0018527C" w:rsidRDefault="00000000">
      <w:r>
        <w:t>The market is saying (all numbers are MTD % returns):</w:t>
      </w:r>
    </w:p>
    <w:p w14:paraId="40C9754B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Breadth: 53.4% of names are positive.</w:t>
      </w:r>
    </w:p>
    <w:p w14:paraId="0BA5A01B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Information Technology: leading (avg +5.23%)</w:t>
      </w:r>
    </w:p>
    <w:p w14:paraId="6BFBE7D3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Industrials: leading (avg +1.76%)</w:t>
      </w:r>
    </w:p>
    <w:p w14:paraId="39F97673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Consumer Staples: lagging (avg -0.69%)</w:t>
      </w:r>
    </w:p>
    <w:p w14:paraId="3241E9BA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Consumer Discretionary: leading (avg +0.89%)</w:t>
      </w:r>
    </w:p>
    <w:p w14:paraId="25B05725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Financials: leading (avg +2.40%)</w:t>
      </w:r>
    </w:p>
    <w:p w14:paraId="790BE05C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Utilities: lagging (avg -5.64%)</w:t>
      </w:r>
    </w:p>
    <w:p w14:paraId="57AB12EB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Real Estate: lagging (avg -2.89%)</w:t>
      </w:r>
    </w:p>
    <w:p w14:paraId="5901B7FB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Materials: lagging (avg -0.77%)</w:t>
      </w:r>
    </w:p>
    <w:p w14:paraId="31FC06A1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Energy: leading (avg +2.07%)</w:t>
      </w:r>
    </w:p>
    <w:p w14:paraId="2C971E4A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Health Care: lagging (avg -1.96%)</w:t>
      </w:r>
    </w:p>
    <w:p w14:paraId="3C71C185" w14:textId="77777777" w:rsidR="0018527C" w:rsidRDefault="00000000" w:rsidP="00E01A28">
      <w:pPr>
        <w:pStyle w:val="ListBullet"/>
        <w:numPr>
          <w:ilvl w:val="0"/>
          <w:numId w:val="10"/>
        </w:numPr>
      </w:pPr>
      <w:r>
        <w:t>Communication Services: leading (avg +2.14%)</w:t>
      </w:r>
    </w:p>
    <w:p w14:paraId="3FECAA12" w14:textId="77777777" w:rsidR="0018527C" w:rsidRDefault="00000000">
      <w:r>
        <w:t>Macro levers (MTD % returns):</w:t>
      </w:r>
    </w:p>
    <w:p w14:paraId="75454BFA" w14:textId="77777777" w:rsidR="0018527C" w:rsidRDefault="00000000" w:rsidP="00E01A28">
      <w:pPr>
        <w:pStyle w:val="ListBullet"/>
        <w:numPr>
          <w:ilvl w:val="0"/>
          <w:numId w:val="11"/>
        </w:numPr>
      </w:pPr>
      <w:r>
        <w:t>Gold: leading (avg +0.30%)</w:t>
      </w:r>
    </w:p>
    <w:p w14:paraId="7E80B50C" w14:textId="77777777" w:rsidR="0018527C" w:rsidRDefault="00000000" w:rsidP="00E01A28">
      <w:pPr>
        <w:pStyle w:val="ListBullet"/>
        <w:numPr>
          <w:ilvl w:val="0"/>
          <w:numId w:val="11"/>
        </w:numPr>
      </w:pPr>
      <w:r>
        <w:t>USD: soft (avg -0.71%)</w:t>
      </w:r>
    </w:p>
    <w:p w14:paraId="2AAE77AF" w14:textId="77777777" w:rsidR="0018527C" w:rsidRDefault="00000000" w:rsidP="00E01A28">
      <w:pPr>
        <w:pStyle w:val="ListBullet"/>
        <w:numPr>
          <w:ilvl w:val="0"/>
          <w:numId w:val="11"/>
        </w:numPr>
      </w:pPr>
      <w:r>
        <w:t>Yields: leading (avg +3.62%)</w:t>
      </w:r>
    </w:p>
    <w:p w14:paraId="023244D4" w14:textId="77777777" w:rsidR="0018527C" w:rsidRDefault="00000000" w:rsidP="00E01A28">
      <w:pPr>
        <w:pStyle w:val="ListBullet"/>
        <w:numPr>
          <w:ilvl w:val="0"/>
          <w:numId w:val="11"/>
        </w:numPr>
      </w:pPr>
      <w:r>
        <w:t>Bonds: soft (avg -1.04%)</w:t>
      </w:r>
    </w:p>
    <w:p w14:paraId="5D871ABB" w14:textId="77777777" w:rsidR="0018527C" w:rsidRDefault="00000000" w:rsidP="00E01A28">
      <w:pPr>
        <w:pStyle w:val="ListBullet"/>
        <w:numPr>
          <w:ilvl w:val="0"/>
          <w:numId w:val="11"/>
        </w:numPr>
      </w:pPr>
      <w:r>
        <w:t>Energy complex: soft (avg -1.97%)</w:t>
      </w:r>
    </w:p>
    <w:p w14:paraId="21A190B9" w14:textId="77777777" w:rsidR="0018527C" w:rsidRDefault="00000000">
      <w:r>
        <w:t xml:space="preserve">Bottom line: Market breadth is only slightly positive with just over half of names up MTD, but leadership is clear in growth- and cyclically-oriented pockets, with Information Technology, Financials, Communication Services, Industrials, Consumer Discretionary, and Energy all advancing, while defensives and rate-sensitives such as Utilities, Real Estate, Health Care, Staples, and Materials lag, signaling a tape that is rewarding earnings torque and balance sheet strength over perceived safety. </w:t>
      </w:r>
      <w:bookmarkStart w:id="0" w:name="_Hlk216289617"/>
      <w:r>
        <w:t>Macro conditions reflect slowing growth and pressured earnings alongside inflation that is easing but still elevated versus pre-COVID norms, and the combination of higher yields, weaker bonds, a softening USD, modestly firmer gold, and a soft energy complex is consistent with markets repricing to a still-restrictive real rate backdrop rather than a clean pivot to a lower-growth, lower-inflation regime, which helps explain the rotation away from bond proxies into higher-quality cyclicals and secular growth.</w:t>
      </w:r>
      <w:bookmarkEnd w:id="0"/>
    </w:p>
    <w:sectPr w:rsidR="001852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7C6FA1"/>
    <w:multiLevelType w:val="hybridMultilevel"/>
    <w:tmpl w:val="A6B4D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1E490B"/>
    <w:multiLevelType w:val="hybridMultilevel"/>
    <w:tmpl w:val="D84A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640146">
    <w:abstractNumId w:val="8"/>
  </w:num>
  <w:num w:numId="2" w16cid:durableId="953943109">
    <w:abstractNumId w:val="6"/>
  </w:num>
  <w:num w:numId="3" w16cid:durableId="27340198">
    <w:abstractNumId w:val="5"/>
  </w:num>
  <w:num w:numId="4" w16cid:durableId="1344817924">
    <w:abstractNumId w:val="4"/>
  </w:num>
  <w:num w:numId="5" w16cid:durableId="1887984978">
    <w:abstractNumId w:val="7"/>
  </w:num>
  <w:num w:numId="6" w16cid:durableId="544954576">
    <w:abstractNumId w:val="3"/>
  </w:num>
  <w:num w:numId="7" w16cid:durableId="43188874">
    <w:abstractNumId w:val="2"/>
  </w:num>
  <w:num w:numId="8" w16cid:durableId="683481970">
    <w:abstractNumId w:val="1"/>
  </w:num>
  <w:num w:numId="9" w16cid:durableId="1154907093">
    <w:abstractNumId w:val="0"/>
  </w:num>
  <w:num w:numId="10" w16cid:durableId="1246958946">
    <w:abstractNumId w:val="9"/>
  </w:num>
  <w:num w:numId="11" w16cid:durableId="8900765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27C"/>
    <w:rsid w:val="0029639D"/>
    <w:rsid w:val="00326F90"/>
    <w:rsid w:val="007369A1"/>
    <w:rsid w:val="00942277"/>
    <w:rsid w:val="00AA1D8D"/>
    <w:rsid w:val="00B47730"/>
    <w:rsid w:val="00C6590C"/>
    <w:rsid w:val="00CB0664"/>
    <w:rsid w:val="00E01A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4F223A"/>
  <w14:defaultImageDpi w14:val="300"/>
  <w15:docId w15:val="{3D84DB99-28F5-4566-91AE-F77E7F090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</Words>
  <Characters>1474</Characters>
  <Application>Microsoft Office Word</Application>
  <DocSecurity>0</DocSecurity>
  <Lines>32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2025-12-11T01:06:00Z</dcterms:created>
  <dcterms:modified xsi:type="dcterms:W3CDTF">2025-12-11T01:06:00Z</dcterms:modified>
  <cp:category/>
</cp:coreProperties>
</file>